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adjustRightInd w:val="0"/>
        <w:snapToGrid w:val="0"/>
        <w:spacing w:line="560" w:lineRule="exact"/>
        <w:ind w:right="-333" w:rightChars="-104"/>
        <w:rPr>
          <w:rFonts w:hint="eastAsia" w:ascii="方正小标宋简体" w:eastAsia="方正小标宋简体"/>
          <w:sz w:val="44"/>
          <w:szCs w:val="44"/>
        </w:rPr>
      </w:pPr>
      <w:bookmarkStart w:id="1" w:name="_GoBack"/>
      <w:bookmarkEnd w:id="1"/>
    </w:p>
    <w:p>
      <w:pPr>
        <w:adjustRightInd w:val="0"/>
        <w:snapToGrid w:val="0"/>
        <w:spacing w:line="560" w:lineRule="exact"/>
        <w:ind w:right="-333" w:rightChars="-104"/>
        <w:jc w:val="center"/>
        <w:outlineLvl w:val="0"/>
        <w:rPr>
          <w:rFonts w:hint="eastAsia" w:ascii="黑体" w:hAnsi="黑体" w:eastAsia="黑体" w:cs="黑体"/>
          <w:bCs/>
          <w:sz w:val="36"/>
          <w:szCs w:val="36"/>
        </w:rPr>
      </w:pPr>
      <w:r>
        <w:rPr>
          <w:rFonts w:hint="eastAsia" w:ascii="黑体" w:hAnsi="黑体" w:eastAsia="黑体" w:cs="黑体"/>
          <w:sz w:val="36"/>
          <w:szCs w:val="36"/>
        </w:rPr>
        <w:t>广西壮族</w:t>
      </w:r>
      <w:r>
        <w:rPr>
          <w:rFonts w:hint="eastAsia" w:ascii="黑体" w:hAnsi="黑体" w:eastAsia="黑体" w:cs="黑体"/>
          <w:sz w:val="36"/>
          <w:szCs w:val="36"/>
          <w:lang w:eastAsia="zh-CN"/>
        </w:rPr>
        <w:t>自治区资源</w:t>
      </w:r>
      <w:r>
        <w:rPr>
          <w:rFonts w:hint="eastAsia" w:ascii="黑体" w:hAnsi="黑体" w:eastAsia="黑体" w:cs="黑体"/>
          <w:sz w:val="36"/>
          <w:szCs w:val="36"/>
          <w:lang w:val="en-US" w:eastAsia="zh-CN"/>
        </w:rPr>
        <w:t>公路养护</w:t>
      </w:r>
      <w:r>
        <w:rPr>
          <w:rFonts w:hint="eastAsia" w:ascii="黑体" w:hAnsi="黑体" w:eastAsia="黑体" w:cs="黑体"/>
          <w:sz w:val="36"/>
          <w:szCs w:val="36"/>
        </w:rPr>
        <w:t>中心202</w:t>
      </w:r>
      <w:r>
        <w:rPr>
          <w:rFonts w:hint="eastAsia" w:ascii="黑体" w:hAnsi="黑体" w:eastAsia="黑体" w:cs="黑体"/>
          <w:sz w:val="36"/>
          <w:szCs w:val="36"/>
          <w:lang w:val="en-US" w:eastAsia="zh-CN"/>
        </w:rPr>
        <w:t>6</w:t>
      </w:r>
      <w:r>
        <w:rPr>
          <w:rFonts w:hint="eastAsia" w:ascii="黑体" w:hAnsi="黑体" w:eastAsia="黑体" w:cs="黑体"/>
          <w:sz w:val="36"/>
          <w:szCs w:val="36"/>
        </w:rPr>
        <w:t>年</w:t>
      </w:r>
      <w:r>
        <w:rPr>
          <w:rFonts w:hint="eastAsia" w:ascii="黑体" w:hAnsi="黑体" w:eastAsia="黑体" w:cs="黑体"/>
          <w:sz w:val="36"/>
          <w:szCs w:val="36"/>
          <w:lang w:eastAsia="zh-CN"/>
        </w:rPr>
        <w:t>单位</w:t>
      </w:r>
      <w:r>
        <w:rPr>
          <w:rFonts w:hint="eastAsia" w:ascii="黑体" w:hAnsi="黑体" w:eastAsia="黑体" w:cs="黑体"/>
          <w:sz w:val="36"/>
          <w:szCs w:val="36"/>
        </w:rPr>
        <w:t>预算公开</w:t>
      </w:r>
    </w:p>
    <w:p>
      <w:pPr>
        <w:adjustRightInd w:val="0"/>
        <w:snapToGrid w:val="0"/>
        <w:spacing w:line="560" w:lineRule="exact"/>
        <w:ind w:right="-333" w:rightChars="-104"/>
        <w:jc w:val="center"/>
        <w:rPr>
          <w:rFonts w:hint="eastAsia" w:ascii="黑体" w:hAnsi="宋体" w:eastAsia="黑体"/>
          <w:bCs/>
          <w:szCs w:val="32"/>
        </w:rPr>
      </w:pPr>
    </w:p>
    <w:p>
      <w:pPr>
        <w:adjustRightInd w:val="0"/>
        <w:snapToGrid w:val="0"/>
        <w:spacing w:line="560" w:lineRule="exact"/>
        <w:ind w:right="-333" w:rightChars="-104"/>
        <w:jc w:val="center"/>
        <w:outlineLvl w:val="0"/>
        <w:rPr>
          <w:rFonts w:hint="eastAsia" w:ascii="黑体" w:hAnsi="宋体" w:eastAsia="黑体"/>
          <w:bCs/>
          <w:szCs w:val="32"/>
        </w:rPr>
      </w:pPr>
      <w:r>
        <w:rPr>
          <w:rFonts w:hint="eastAsia" w:ascii="黑体" w:hAnsi="宋体" w:eastAsia="黑体"/>
          <w:bCs/>
          <w:szCs w:val="32"/>
        </w:rPr>
        <w:t>目  录</w:t>
      </w:r>
    </w:p>
    <w:p>
      <w:pPr>
        <w:adjustRightInd w:val="0"/>
        <w:snapToGrid w:val="0"/>
        <w:spacing w:line="560" w:lineRule="exact"/>
        <w:ind w:right="-333" w:rightChars="-104" w:firstLine="640" w:firstLineChars="200"/>
        <w:rPr>
          <w:rFonts w:hint="eastAsia" w:ascii="黑体" w:hAnsi="宋体" w:eastAsia="黑体"/>
          <w:bCs/>
          <w:szCs w:val="32"/>
        </w:rPr>
      </w:pPr>
    </w:p>
    <w:p>
      <w:pPr>
        <w:keepNext w:val="0"/>
        <w:keepLines w:val="0"/>
        <w:pageBreakBefore w:val="0"/>
        <w:widowControl w:val="0"/>
        <w:kinsoku/>
        <w:wordWrap/>
        <w:overflowPunct/>
        <w:topLinePunct w:val="0"/>
        <w:autoSpaceDE/>
        <w:autoSpaceDN/>
        <w:bidi w:val="0"/>
        <w:adjustRightInd w:val="0"/>
        <w:snapToGrid w:val="0"/>
        <w:spacing w:line="560" w:lineRule="exact"/>
        <w:ind w:right="-333" w:rightChars="-104" w:firstLine="640" w:firstLineChars="200"/>
        <w:textAlignment w:val="auto"/>
        <w:outlineLvl w:val="9"/>
        <w:rPr>
          <w:rFonts w:hint="eastAsia" w:ascii="黑体" w:hAnsi="宋体" w:eastAsia="黑体"/>
          <w:bCs/>
          <w:szCs w:val="32"/>
        </w:rPr>
      </w:pPr>
      <w:r>
        <w:rPr>
          <w:rFonts w:hint="eastAsia" w:ascii="黑体" w:hAnsi="宋体" w:eastAsia="黑体"/>
          <w:bCs/>
          <w:szCs w:val="32"/>
        </w:rPr>
        <w:t>第一部分：单位概况</w:t>
      </w:r>
    </w:p>
    <w:p>
      <w:pPr>
        <w:keepNext w:val="0"/>
        <w:keepLines w:val="0"/>
        <w:pageBreakBefore w:val="0"/>
        <w:widowControl w:val="0"/>
        <w:kinsoku/>
        <w:wordWrap/>
        <w:overflowPunct/>
        <w:topLinePunct w:val="0"/>
        <w:autoSpaceDE/>
        <w:autoSpaceDN/>
        <w:bidi w:val="0"/>
        <w:adjustRightInd w:val="0"/>
        <w:snapToGrid w:val="0"/>
        <w:spacing w:line="560" w:lineRule="exact"/>
        <w:ind w:right="-333" w:rightChars="-104" w:firstLine="640" w:firstLineChars="200"/>
        <w:textAlignment w:val="auto"/>
        <w:outlineLvl w:val="9"/>
        <w:rPr>
          <w:rFonts w:hint="eastAsia" w:ascii="仿宋" w:hAnsi="仿宋" w:eastAsia="仿宋" w:cs="仿宋"/>
          <w:bCs/>
          <w:szCs w:val="32"/>
        </w:rPr>
      </w:pPr>
      <w:r>
        <w:rPr>
          <w:rFonts w:hint="eastAsia" w:ascii="仿宋" w:hAnsi="仿宋" w:eastAsia="仿宋" w:cs="仿宋"/>
          <w:bCs/>
          <w:szCs w:val="32"/>
        </w:rPr>
        <w:t>一、单位主要职能</w:t>
      </w:r>
    </w:p>
    <w:p>
      <w:pPr>
        <w:keepNext w:val="0"/>
        <w:keepLines w:val="0"/>
        <w:pageBreakBefore w:val="0"/>
        <w:widowControl w:val="0"/>
        <w:kinsoku/>
        <w:wordWrap/>
        <w:overflowPunct/>
        <w:topLinePunct w:val="0"/>
        <w:autoSpaceDE/>
        <w:autoSpaceDN/>
        <w:bidi w:val="0"/>
        <w:adjustRightInd w:val="0"/>
        <w:snapToGrid w:val="0"/>
        <w:spacing w:line="560" w:lineRule="exact"/>
        <w:ind w:right="-333" w:rightChars="-104" w:firstLine="640" w:firstLineChars="200"/>
        <w:textAlignment w:val="auto"/>
        <w:outlineLvl w:val="9"/>
        <w:rPr>
          <w:rFonts w:hint="eastAsia" w:ascii="仿宋" w:hAnsi="仿宋" w:eastAsia="仿宋" w:cs="仿宋"/>
          <w:bCs/>
          <w:szCs w:val="32"/>
        </w:rPr>
      </w:pPr>
      <w:r>
        <w:rPr>
          <w:rFonts w:hint="eastAsia" w:ascii="仿宋" w:hAnsi="仿宋" w:eastAsia="仿宋" w:cs="仿宋"/>
          <w:bCs/>
          <w:szCs w:val="32"/>
        </w:rPr>
        <w:t>二、机构设置情况</w:t>
      </w:r>
    </w:p>
    <w:p>
      <w:pPr>
        <w:keepNext w:val="0"/>
        <w:keepLines w:val="0"/>
        <w:pageBreakBefore w:val="0"/>
        <w:widowControl w:val="0"/>
        <w:kinsoku/>
        <w:wordWrap/>
        <w:overflowPunct/>
        <w:topLinePunct w:val="0"/>
        <w:autoSpaceDE/>
        <w:autoSpaceDN/>
        <w:bidi w:val="0"/>
        <w:adjustRightInd w:val="0"/>
        <w:snapToGrid w:val="0"/>
        <w:spacing w:line="560" w:lineRule="exact"/>
        <w:ind w:right="-333" w:rightChars="-104" w:firstLine="640" w:firstLineChars="200"/>
        <w:textAlignment w:val="auto"/>
        <w:outlineLvl w:val="9"/>
        <w:rPr>
          <w:rFonts w:hint="eastAsia" w:ascii="黑体" w:eastAsia="黑体"/>
          <w:szCs w:val="32"/>
        </w:rPr>
      </w:pPr>
      <w:r>
        <w:rPr>
          <w:rFonts w:hint="eastAsia" w:ascii="黑体" w:eastAsia="黑体"/>
          <w:szCs w:val="32"/>
        </w:rPr>
        <w:t>第二部分：</w:t>
      </w:r>
      <w:r>
        <w:rPr>
          <w:rFonts w:hint="eastAsia" w:ascii="黑体" w:hAnsi="宋体" w:eastAsia="黑体"/>
          <w:szCs w:val="32"/>
          <w:lang w:eastAsia="zh-CN"/>
        </w:rPr>
        <w:t>自治区</w:t>
      </w:r>
      <w:r>
        <w:rPr>
          <w:rFonts w:hint="eastAsia" w:ascii="黑体" w:hAnsi="宋体" w:eastAsia="黑体"/>
          <w:szCs w:val="32"/>
          <w:lang w:val="en-US" w:eastAsia="zh-CN"/>
        </w:rPr>
        <w:t>资源公路养护</w:t>
      </w:r>
      <w:r>
        <w:rPr>
          <w:rFonts w:hint="eastAsia" w:ascii="黑体" w:hAnsi="宋体" w:eastAsia="黑体"/>
          <w:szCs w:val="32"/>
          <w:lang w:eastAsia="zh-CN"/>
        </w:rPr>
        <w:t>中心</w:t>
      </w:r>
      <w:r>
        <w:rPr>
          <w:rFonts w:hint="eastAsia" w:ascii="黑体" w:hAnsi="宋体" w:eastAsia="黑体"/>
          <w:szCs w:val="32"/>
        </w:rPr>
        <w:t>202</w:t>
      </w:r>
      <w:r>
        <w:rPr>
          <w:rFonts w:hint="eastAsia" w:ascii="黑体" w:hAnsi="宋体" w:eastAsia="黑体"/>
          <w:szCs w:val="32"/>
          <w:lang w:val="en-US" w:eastAsia="zh-CN"/>
        </w:rPr>
        <w:t>6</w:t>
      </w:r>
      <w:r>
        <w:rPr>
          <w:rFonts w:hint="eastAsia" w:ascii="黑体" w:hAnsi="宋体" w:eastAsia="黑体"/>
          <w:szCs w:val="32"/>
        </w:rPr>
        <w:t>年</w:t>
      </w:r>
      <w:r>
        <w:rPr>
          <w:rFonts w:hint="eastAsia" w:ascii="黑体" w:eastAsia="黑体"/>
          <w:szCs w:val="32"/>
        </w:rPr>
        <w:t>单位预算情况说明</w:t>
      </w:r>
    </w:p>
    <w:p>
      <w:pPr>
        <w:keepNext w:val="0"/>
        <w:keepLines w:val="0"/>
        <w:pageBreakBefore w:val="0"/>
        <w:widowControl w:val="0"/>
        <w:kinsoku/>
        <w:wordWrap/>
        <w:overflowPunct/>
        <w:topLinePunct w:val="0"/>
        <w:autoSpaceDE/>
        <w:autoSpaceDN/>
        <w:bidi w:val="0"/>
        <w:adjustRightInd w:val="0"/>
        <w:snapToGrid w:val="0"/>
        <w:spacing w:line="560" w:lineRule="exact"/>
        <w:ind w:right="-333" w:rightChars="-104" w:firstLine="640" w:firstLineChars="200"/>
        <w:textAlignment w:val="auto"/>
        <w:outlineLvl w:val="9"/>
        <w:rPr>
          <w:rFonts w:hint="eastAsia" w:ascii="仿宋" w:hAnsi="仿宋" w:eastAsia="仿宋" w:cs="仿宋"/>
          <w:b w:val="0"/>
          <w:bCs w:val="0"/>
          <w:szCs w:val="32"/>
        </w:rPr>
      </w:pPr>
      <w:r>
        <w:rPr>
          <w:rFonts w:hint="eastAsia" w:ascii="仿宋" w:hAnsi="仿宋" w:eastAsia="仿宋" w:cs="仿宋"/>
          <w:b w:val="0"/>
          <w:bCs w:val="0"/>
          <w:szCs w:val="32"/>
        </w:rPr>
        <w:t>一、</w:t>
      </w:r>
      <w:r>
        <w:rPr>
          <w:rFonts w:hint="eastAsia" w:ascii="仿宋" w:hAnsi="仿宋" w:eastAsia="仿宋" w:cs="仿宋"/>
          <w:b w:val="0"/>
          <w:bCs w:val="0"/>
          <w:szCs w:val="32"/>
          <w:lang w:eastAsia="zh-CN"/>
        </w:rPr>
        <w:t>单位</w:t>
      </w:r>
      <w:r>
        <w:rPr>
          <w:rFonts w:hint="eastAsia" w:ascii="仿宋" w:hAnsi="仿宋" w:eastAsia="仿宋" w:cs="仿宋"/>
          <w:b w:val="0"/>
          <w:bCs w:val="0"/>
          <w:szCs w:val="32"/>
          <w:lang w:val="en-US" w:eastAsia="zh-CN"/>
        </w:rPr>
        <w:t>预算</w:t>
      </w:r>
      <w:r>
        <w:rPr>
          <w:rFonts w:hint="eastAsia" w:ascii="仿宋" w:hAnsi="仿宋" w:eastAsia="仿宋" w:cs="仿宋"/>
          <w:b w:val="0"/>
          <w:bCs w:val="0"/>
          <w:szCs w:val="32"/>
        </w:rPr>
        <w:t>收支</w:t>
      </w:r>
      <w:r>
        <w:rPr>
          <w:rFonts w:hint="eastAsia" w:ascii="仿宋" w:hAnsi="仿宋" w:eastAsia="仿宋" w:cs="仿宋"/>
          <w:b w:val="0"/>
          <w:bCs w:val="0"/>
          <w:szCs w:val="32"/>
          <w:lang w:val="en-US" w:eastAsia="zh-CN"/>
        </w:rPr>
        <w:t>增减变化</w:t>
      </w:r>
      <w:r>
        <w:rPr>
          <w:rFonts w:hint="eastAsia" w:ascii="仿宋" w:hAnsi="仿宋" w:eastAsia="仿宋" w:cs="仿宋"/>
          <w:b w:val="0"/>
          <w:bCs w:val="0"/>
          <w:szCs w:val="32"/>
        </w:rPr>
        <w:t>情况说明</w:t>
      </w:r>
    </w:p>
    <w:p>
      <w:pPr>
        <w:keepNext w:val="0"/>
        <w:keepLines w:val="0"/>
        <w:pageBreakBefore w:val="0"/>
        <w:widowControl w:val="0"/>
        <w:kinsoku/>
        <w:wordWrap/>
        <w:overflowPunct/>
        <w:topLinePunct w:val="0"/>
        <w:autoSpaceDE/>
        <w:autoSpaceDN/>
        <w:bidi w:val="0"/>
        <w:adjustRightInd w:val="0"/>
        <w:snapToGrid w:val="0"/>
        <w:spacing w:line="560" w:lineRule="exact"/>
        <w:ind w:right="-333" w:rightChars="-104" w:firstLine="640" w:firstLineChars="200"/>
        <w:textAlignment w:val="auto"/>
        <w:outlineLvl w:val="9"/>
        <w:rPr>
          <w:rFonts w:hint="eastAsia" w:ascii="仿宋" w:hAnsi="仿宋" w:eastAsia="仿宋" w:cs="仿宋"/>
          <w:b w:val="0"/>
          <w:bCs w:val="0"/>
          <w:szCs w:val="32"/>
        </w:rPr>
      </w:pPr>
      <w:r>
        <w:rPr>
          <w:rFonts w:hint="eastAsia" w:ascii="仿宋" w:hAnsi="仿宋" w:eastAsia="仿宋" w:cs="仿宋"/>
          <w:b w:val="0"/>
          <w:bCs w:val="0"/>
          <w:szCs w:val="32"/>
        </w:rPr>
        <w:t>二、</w:t>
      </w:r>
      <w:r>
        <w:rPr>
          <w:rFonts w:hint="eastAsia" w:ascii="仿宋" w:hAnsi="仿宋" w:eastAsia="仿宋" w:cs="仿宋"/>
          <w:b w:val="0"/>
          <w:bCs w:val="0"/>
          <w:szCs w:val="32"/>
          <w:lang w:eastAsia="zh-CN"/>
        </w:rPr>
        <w:t>单位</w:t>
      </w:r>
      <w:r>
        <w:rPr>
          <w:rFonts w:hint="eastAsia" w:ascii="仿宋" w:hAnsi="仿宋" w:eastAsia="仿宋" w:cs="仿宋"/>
          <w:b w:val="0"/>
          <w:bCs w:val="0"/>
          <w:szCs w:val="32"/>
          <w:lang w:val="en-US" w:eastAsia="zh-CN"/>
        </w:rPr>
        <w:t>预算</w:t>
      </w:r>
      <w:r>
        <w:rPr>
          <w:rFonts w:hint="eastAsia" w:ascii="仿宋" w:hAnsi="仿宋" w:eastAsia="仿宋" w:cs="仿宋"/>
          <w:b w:val="0"/>
          <w:bCs w:val="0"/>
          <w:szCs w:val="32"/>
        </w:rPr>
        <w:t>收入总体情况说明</w:t>
      </w:r>
    </w:p>
    <w:p>
      <w:pPr>
        <w:keepNext w:val="0"/>
        <w:keepLines w:val="0"/>
        <w:pageBreakBefore w:val="0"/>
        <w:widowControl w:val="0"/>
        <w:kinsoku/>
        <w:wordWrap/>
        <w:overflowPunct/>
        <w:topLinePunct w:val="0"/>
        <w:autoSpaceDE/>
        <w:autoSpaceDN/>
        <w:bidi w:val="0"/>
        <w:adjustRightInd w:val="0"/>
        <w:snapToGrid w:val="0"/>
        <w:spacing w:line="560" w:lineRule="exact"/>
        <w:ind w:right="-333" w:rightChars="-104" w:firstLine="640" w:firstLineChars="200"/>
        <w:textAlignment w:val="auto"/>
        <w:outlineLvl w:val="9"/>
        <w:rPr>
          <w:rFonts w:hint="eastAsia" w:ascii="仿宋" w:hAnsi="仿宋" w:eastAsia="仿宋" w:cs="仿宋"/>
          <w:b w:val="0"/>
          <w:bCs w:val="0"/>
          <w:szCs w:val="32"/>
        </w:rPr>
      </w:pPr>
      <w:r>
        <w:rPr>
          <w:rFonts w:hint="eastAsia" w:ascii="仿宋" w:hAnsi="仿宋" w:eastAsia="仿宋" w:cs="仿宋"/>
          <w:b w:val="0"/>
          <w:bCs w:val="0"/>
          <w:szCs w:val="32"/>
        </w:rPr>
        <w:t>三、</w:t>
      </w:r>
      <w:r>
        <w:rPr>
          <w:rFonts w:hint="eastAsia" w:ascii="仿宋" w:hAnsi="仿宋" w:eastAsia="仿宋" w:cs="仿宋"/>
          <w:b w:val="0"/>
          <w:bCs w:val="0"/>
          <w:szCs w:val="32"/>
          <w:lang w:eastAsia="zh-CN"/>
        </w:rPr>
        <w:t>单位</w:t>
      </w:r>
      <w:r>
        <w:rPr>
          <w:rFonts w:hint="eastAsia" w:ascii="仿宋" w:hAnsi="仿宋" w:eastAsia="仿宋" w:cs="仿宋"/>
          <w:b w:val="0"/>
          <w:bCs w:val="0"/>
          <w:szCs w:val="32"/>
          <w:lang w:val="en-US" w:eastAsia="zh-CN"/>
        </w:rPr>
        <w:t>预算</w:t>
      </w:r>
      <w:r>
        <w:rPr>
          <w:rFonts w:hint="eastAsia" w:ascii="仿宋" w:hAnsi="仿宋" w:eastAsia="仿宋" w:cs="仿宋"/>
          <w:b w:val="0"/>
          <w:bCs w:val="0"/>
          <w:szCs w:val="32"/>
        </w:rPr>
        <w:t>支出总体情况说明</w:t>
      </w:r>
    </w:p>
    <w:p>
      <w:pPr>
        <w:keepNext w:val="0"/>
        <w:keepLines w:val="0"/>
        <w:pageBreakBefore w:val="0"/>
        <w:widowControl w:val="0"/>
        <w:kinsoku/>
        <w:wordWrap/>
        <w:overflowPunct/>
        <w:topLinePunct w:val="0"/>
        <w:autoSpaceDE/>
        <w:autoSpaceDN/>
        <w:bidi w:val="0"/>
        <w:adjustRightInd w:val="0"/>
        <w:snapToGrid w:val="0"/>
        <w:spacing w:line="560" w:lineRule="exact"/>
        <w:ind w:right="-333" w:rightChars="-104" w:firstLine="640" w:firstLineChars="200"/>
        <w:textAlignment w:val="auto"/>
        <w:outlineLvl w:val="9"/>
        <w:rPr>
          <w:rFonts w:hint="eastAsia" w:ascii="仿宋" w:hAnsi="仿宋" w:eastAsia="仿宋" w:cs="仿宋"/>
          <w:b w:val="0"/>
          <w:bCs w:val="0"/>
          <w:szCs w:val="32"/>
        </w:rPr>
      </w:pPr>
      <w:r>
        <w:rPr>
          <w:rFonts w:hint="eastAsia" w:ascii="仿宋" w:hAnsi="仿宋" w:eastAsia="仿宋" w:cs="仿宋"/>
          <w:b w:val="0"/>
          <w:bCs w:val="0"/>
          <w:szCs w:val="32"/>
        </w:rPr>
        <w:t>四、政府性基金预算支出情况说明</w:t>
      </w:r>
    </w:p>
    <w:p>
      <w:pPr>
        <w:keepNext w:val="0"/>
        <w:keepLines w:val="0"/>
        <w:pageBreakBefore w:val="0"/>
        <w:widowControl w:val="0"/>
        <w:kinsoku/>
        <w:wordWrap/>
        <w:overflowPunct/>
        <w:topLinePunct w:val="0"/>
        <w:autoSpaceDE/>
        <w:autoSpaceDN/>
        <w:bidi w:val="0"/>
        <w:adjustRightInd w:val="0"/>
        <w:snapToGrid w:val="0"/>
        <w:spacing w:line="560" w:lineRule="exact"/>
        <w:ind w:right="-333" w:rightChars="-104" w:firstLine="640" w:firstLineChars="200"/>
        <w:textAlignment w:val="auto"/>
        <w:outlineLvl w:val="9"/>
        <w:rPr>
          <w:rFonts w:hint="eastAsia" w:ascii="仿宋" w:hAnsi="仿宋" w:eastAsia="仿宋" w:cs="仿宋"/>
          <w:b w:val="0"/>
          <w:bCs w:val="0"/>
          <w:szCs w:val="32"/>
        </w:rPr>
      </w:pPr>
      <w:r>
        <w:rPr>
          <w:rFonts w:hint="eastAsia" w:ascii="仿宋" w:hAnsi="仿宋" w:eastAsia="仿宋" w:cs="仿宋"/>
          <w:b w:val="0"/>
          <w:bCs w:val="0"/>
          <w:szCs w:val="32"/>
        </w:rPr>
        <w:t>五、国有资本经营预算支出情况说明</w:t>
      </w:r>
    </w:p>
    <w:p>
      <w:pPr>
        <w:keepNext w:val="0"/>
        <w:keepLines w:val="0"/>
        <w:pageBreakBefore w:val="0"/>
        <w:widowControl w:val="0"/>
        <w:kinsoku/>
        <w:wordWrap/>
        <w:overflowPunct/>
        <w:topLinePunct w:val="0"/>
        <w:autoSpaceDE/>
        <w:autoSpaceDN/>
        <w:bidi w:val="0"/>
        <w:adjustRightInd w:val="0"/>
        <w:snapToGrid w:val="0"/>
        <w:spacing w:line="560" w:lineRule="exact"/>
        <w:ind w:right="-333" w:rightChars="-104" w:firstLine="640" w:firstLineChars="200"/>
        <w:textAlignment w:val="auto"/>
        <w:outlineLvl w:val="9"/>
        <w:rPr>
          <w:rFonts w:hint="eastAsia" w:ascii="仿宋" w:hAnsi="仿宋" w:eastAsia="仿宋" w:cs="仿宋"/>
          <w:b w:val="0"/>
          <w:bCs w:val="0"/>
          <w:szCs w:val="32"/>
        </w:rPr>
      </w:pPr>
      <w:r>
        <w:rPr>
          <w:rFonts w:hint="eastAsia" w:ascii="仿宋" w:hAnsi="仿宋" w:eastAsia="仿宋" w:cs="仿宋"/>
          <w:b w:val="0"/>
          <w:bCs w:val="0"/>
          <w:szCs w:val="32"/>
        </w:rPr>
        <w:t>六、一般公共预算“三公”经费支出情况说明</w:t>
      </w:r>
    </w:p>
    <w:p>
      <w:pPr>
        <w:keepNext w:val="0"/>
        <w:keepLines w:val="0"/>
        <w:pageBreakBefore w:val="0"/>
        <w:widowControl w:val="0"/>
        <w:kinsoku/>
        <w:wordWrap/>
        <w:overflowPunct/>
        <w:topLinePunct w:val="0"/>
        <w:autoSpaceDE/>
        <w:autoSpaceDN/>
        <w:bidi w:val="0"/>
        <w:adjustRightInd w:val="0"/>
        <w:snapToGrid w:val="0"/>
        <w:spacing w:line="560" w:lineRule="exact"/>
        <w:ind w:right="-333" w:rightChars="-104" w:firstLine="640" w:firstLineChars="200"/>
        <w:textAlignment w:val="auto"/>
        <w:outlineLvl w:val="9"/>
        <w:rPr>
          <w:rFonts w:hint="eastAsia" w:ascii="仿宋" w:hAnsi="仿宋" w:eastAsia="仿宋" w:cs="仿宋"/>
          <w:b w:val="0"/>
          <w:bCs w:val="0"/>
          <w:szCs w:val="32"/>
        </w:rPr>
      </w:pPr>
      <w:r>
        <w:rPr>
          <w:rFonts w:hint="eastAsia" w:ascii="仿宋" w:hAnsi="仿宋" w:eastAsia="仿宋" w:cs="仿宋"/>
          <w:b w:val="0"/>
          <w:bCs w:val="0"/>
          <w:szCs w:val="32"/>
        </w:rPr>
        <w:t>七、事业单位相关运行经费安排情况说明</w:t>
      </w:r>
    </w:p>
    <w:p>
      <w:pPr>
        <w:keepNext w:val="0"/>
        <w:keepLines w:val="0"/>
        <w:pageBreakBefore w:val="0"/>
        <w:widowControl w:val="0"/>
        <w:kinsoku/>
        <w:wordWrap/>
        <w:overflowPunct/>
        <w:topLinePunct w:val="0"/>
        <w:autoSpaceDE/>
        <w:autoSpaceDN/>
        <w:bidi w:val="0"/>
        <w:adjustRightInd w:val="0"/>
        <w:snapToGrid w:val="0"/>
        <w:spacing w:line="560" w:lineRule="exact"/>
        <w:ind w:right="-333" w:rightChars="-104" w:firstLine="640" w:firstLineChars="200"/>
        <w:textAlignment w:val="auto"/>
        <w:outlineLvl w:val="9"/>
        <w:rPr>
          <w:rFonts w:hint="eastAsia" w:ascii="仿宋" w:hAnsi="仿宋" w:eastAsia="仿宋" w:cs="仿宋"/>
          <w:b w:val="0"/>
          <w:bCs w:val="0"/>
          <w:szCs w:val="32"/>
        </w:rPr>
      </w:pPr>
      <w:r>
        <w:rPr>
          <w:rFonts w:hint="eastAsia" w:ascii="仿宋" w:hAnsi="仿宋" w:eastAsia="仿宋" w:cs="仿宋"/>
          <w:b w:val="0"/>
          <w:bCs w:val="0"/>
          <w:szCs w:val="32"/>
        </w:rPr>
        <w:t>八、</w:t>
      </w:r>
      <w:r>
        <w:rPr>
          <w:rFonts w:hint="eastAsia" w:ascii="仿宋" w:hAnsi="仿宋" w:eastAsia="仿宋" w:cs="仿宋"/>
          <w:szCs w:val="32"/>
        </w:rPr>
        <w:t>政府采购预算安排情况说明</w:t>
      </w:r>
    </w:p>
    <w:p>
      <w:pPr>
        <w:keepNext w:val="0"/>
        <w:keepLines w:val="0"/>
        <w:pageBreakBefore w:val="0"/>
        <w:widowControl w:val="0"/>
        <w:kinsoku/>
        <w:wordWrap/>
        <w:overflowPunct/>
        <w:topLinePunct w:val="0"/>
        <w:autoSpaceDE/>
        <w:autoSpaceDN/>
        <w:bidi w:val="0"/>
        <w:adjustRightInd w:val="0"/>
        <w:snapToGrid w:val="0"/>
        <w:spacing w:line="560" w:lineRule="exact"/>
        <w:ind w:right="-333" w:rightChars="-104" w:firstLine="640" w:firstLineChars="200"/>
        <w:textAlignment w:val="auto"/>
        <w:outlineLvl w:val="9"/>
        <w:rPr>
          <w:rFonts w:hint="eastAsia" w:ascii="仿宋" w:hAnsi="仿宋" w:eastAsia="仿宋" w:cs="仿宋"/>
          <w:b w:val="0"/>
          <w:bCs w:val="0"/>
          <w:szCs w:val="32"/>
        </w:rPr>
      </w:pPr>
      <w:r>
        <w:rPr>
          <w:rFonts w:hint="eastAsia" w:ascii="仿宋" w:hAnsi="仿宋" w:eastAsia="仿宋" w:cs="仿宋"/>
          <w:b w:val="0"/>
          <w:bCs w:val="0"/>
          <w:szCs w:val="32"/>
        </w:rPr>
        <w:t>九、国有资产占用情况说明</w:t>
      </w:r>
    </w:p>
    <w:p>
      <w:pPr>
        <w:keepNext w:val="0"/>
        <w:keepLines w:val="0"/>
        <w:pageBreakBefore w:val="0"/>
        <w:widowControl w:val="0"/>
        <w:kinsoku/>
        <w:wordWrap/>
        <w:overflowPunct/>
        <w:topLinePunct w:val="0"/>
        <w:autoSpaceDE/>
        <w:autoSpaceDN/>
        <w:bidi w:val="0"/>
        <w:adjustRightInd w:val="0"/>
        <w:snapToGrid w:val="0"/>
        <w:spacing w:line="560" w:lineRule="exact"/>
        <w:ind w:right="-333" w:rightChars="-104" w:firstLine="640" w:firstLineChars="200"/>
        <w:textAlignment w:val="auto"/>
        <w:outlineLvl w:val="9"/>
        <w:rPr>
          <w:rFonts w:hint="eastAsia" w:ascii="仿宋" w:hAnsi="仿宋" w:eastAsia="仿宋" w:cs="仿宋"/>
          <w:b w:val="0"/>
          <w:bCs w:val="0"/>
          <w:szCs w:val="32"/>
        </w:rPr>
      </w:pPr>
      <w:r>
        <w:rPr>
          <w:rFonts w:hint="eastAsia" w:ascii="仿宋" w:hAnsi="仿宋" w:eastAsia="仿宋" w:cs="仿宋"/>
          <w:b w:val="0"/>
          <w:bCs w:val="0"/>
          <w:szCs w:val="32"/>
        </w:rPr>
        <w:t>十、预算绩效目标情况说明</w:t>
      </w:r>
    </w:p>
    <w:p>
      <w:pPr>
        <w:keepNext w:val="0"/>
        <w:keepLines w:val="0"/>
        <w:pageBreakBefore w:val="0"/>
        <w:widowControl w:val="0"/>
        <w:kinsoku/>
        <w:wordWrap/>
        <w:overflowPunct/>
        <w:topLinePunct w:val="0"/>
        <w:autoSpaceDE/>
        <w:autoSpaceDN/>
        <w:bidi w:val="0"/>
        <w:adjustRightInd w:val="0"/>
        <w:snapToGrid w:val="0"/>
        <w:spacing w:line="560" w:lineRule="exact"/>
        <w:ind w:right="-333" w:rightChars="-104" w:firstLine="640" w:firstLineChars="200"/>
        <w:textAlignment w:val="auto"/>
        <w:outlineLvl w:val="9"/>
        <w:rPr>
          <w:rFonts w:hint="eastAsia" w:ascii="黑体" w:hAnsi="宋体" w:eastAsia="黑体"/>
          <w:bCs/>
          <w:szCs w:val="32"/>
        </w:rPr>
      </w:pPr>
      <w:r>
        <w:rPr>
          <w:rFonts w:hint="eastAsia" w:ascii="黑体" w:eastAsia="黑体"/>
          <w:szCs w:val="32"/>
        </w:rPr>
        <w:t>第三部分：名词解释</w:t>
      </w:r>
    </w:p>
    <w:p>
      <w:pPr>
        <w:keepNext w:val="0"/>
        <w:keepLines w:val="0"/>
        <w:pageBreakBefore w:val="0"/>
        <w:widowControl w:val="0"/>
        <w:kinsoku/>
        <w:wordWrap/>
        <w:overflowPunct/>
        <w:topLinePunct w:val="0"/>
        <w:autoSpaceDE/>
        <w:autoSpaceDN/>
        <w:bidi w:val="0"/>
        <w:adjustRightInd w:val="0"/>
        <w:snapToGrid w:val="0"/>
        <w:spacing w:line="560" w:lineRule="exact"/>
        <w:ind w:right="-333" w:rightChars="-104" w:firstLine="640" w:firstLineChars="200"/>
        <w:textAlignment w:val="auto"/>
        <w:outlineLvl w:val="9"/>
        <w:rPr>
          <w:rFonts w:hint="eastAsia" w:ascii="黑体" w:eastAsia="黑体"/>
          <w:szCs w:val="32"/>
        </w:rPr>
      </w:pPr>
      <w:r>
        <w:rPr>
          <w:rFonts w:hint="eastAsia" w:ascii="黑体" w:hAnsi="宋体" w:eastAsia="黑体"/>
          <w:bCs/>
          <w:szCs w:val="32"/>
        </w:rPr>
        <w:t>第四部分：</w:t>
      </w:r>
      <w:r>
        <w:rPr>
          <w:rFonts w:hint="eastAsia" w:ascii="黑体" w:hAnsi="宋体" w:eastAsia="黑体"/>
          <w:szCs w:val="32"/>
          <w:lang w:eastAsia="zh-CN"/>
        </w:rPr>
        <w:t>自治区</w:t>
      </w:r>
      <w:r>
        <w:rPr>
          <w:rFonts w:hint="eastAsia" w:ascii="黑体" w:hAnsi="宋体" w:eastAsia="黑体"/>
          <w:szCs w:val="32"/>
          <w:lang w:val="en-US" w:eastAsia="zh-CN"/>
        </w:rPr>
        <w:t>资源公路养护</w:t>
      </w:r>
      <w:r>
        <w:rPr>
          <w:rFonts w:hint="eastAsia" w:ascii="黑体" w:hAnsi="宋体" w:eastAsia="黑体"/>
          <w:szCs w:val="32"/>
        </w:rPr>
        <w:t>中心202</w:t>
      </w:r>
      <w:r>
        <w:rPr>
          <w:rFonts w:hint="eastAsia" w:ascii="黑体" w:hAnsi="宋体" w:eastAsia="黑体"/>
          <w:szCs w:val="32"/>
          <w:lang w:val="en-US" w:eastAsia="zh-CN"/>
        </w:rPr>
        <w:t>6</w:t>
      </w:r>
      <w:r>
        <w:rPr>
          <w:rFonts w:hint="eastAsia" w:ascii="黑体" w:hAnsi="宋体" w:eastAsia="黑体"/>
          <w:szCs w:val="32"/>
        </w:rPr>
        <w:t>年</w:t>
      </w:r>
      <w:r>
        <w:rPr>
          <w:rFonts w:hint="eastAsia" w:ascii="黑体" w:eastAsia="黑体"/>
          <w:szCs w:val="32"/>
        </w:rPr>
        <w:t>单位预算公开报表</w:t>
      </w:r>
    </w:p>
    <w:p>
      <w:pPr>
        <w:keepNext w:val="0"/>
        <w:keepLines w:val="0"/>
        <w:pageBreakBefore w:val="0"/>
        <w:widowControl w:val="0"/>
        <w:kinsoku/>
        <w:wordWrap/>
        <w:overflowPunct/>
        <w:topLinePunct w:val="0"/>
        <w:autoSpaceDE/>
        <w:autoSpaceDN/>
        <w:bidi w:val="0"/>
        <w:adjustRightInd w:val="0"/>
        <w:snapToGrid w:val="0"/>
        <w:spacing w:line="560" w:lineRule="exact"/>
        <w:ind w:right="-333" w:rightChars="-104" w:firstLine="640" w:firstLineChars="200"/>
        <w:textAlignment w:val="auto"/>
        <w:outlineLvl w:val="9"/>
        <w:rPr>
          <w:rFonts w:hint="eastAsia" w:ascii="仿宋" w:hAnsi="仿宋" w:eastAsia="仿宋" w:cs="仿宋"/>
          <w:szCs w:val="32"/>
        </w:rPr>
      </w:pPr>
      <w:r>
        <w:rPr>
          <w:rFonts w:hint="eastAsia" w:ascii="仿宋" w:hAnsi="仿宋" w:eastAsia="仿宋" w:cs="仿宋"/>
          <w:szCs w:val="32"/>
        </w:rPr>
        <w:t>一、</w:t>
      </w:r>
      <w:r>
        <w:rPr>
          <w:rFonts w:hint="eastAsia" w:ascii="仿宋" w:hAnsi="仿宋" w:eastAsia="仿宋" w:cs="仿宋"/>
          <w:szCs w:val="32"/>
          <w:lang w:eastAsia="zh-CN"/>
        </w:rPr>
        <w:t>单位</w:t>
      </w:r>
      <w:r>
        <w:rPr>
          <w:rFonts w:hint="eastAsia" w:ascii="仿宋" w:hAnsi="仿宋" w:eastAsia="仿宋" w:cs="仿宋"/>
          <w:szCs w:val="32"/>
        </w:rPr>
        <w:t>收支总体情况表（预算公开01表）</w:t>
      </w:r>
    </w:p>
    <w:p>
      <w:pPr>
        <w:keepNext w:val="0"/>
        <w:keepLines w:val="0"/>
        <w:pageBreakBefore w:val="0"/>
        <w:widowControl w:val="0"/>
        <w:kinsoku/>
        <w:wordWrap/>
        <w:overflowPunct/>
        <w:topLinePunct w:val="0"/>
        <w:autoSpaceDE/>
        <w:autoSpaceDN/>
        <w:bidi w:val="0"/>
        <w:adjustRightInd w:val="0"/>
        <w:snapToGrid w:val="0"/>
        <w:spacing w:line="560" w:lineRule="exact"/>
        <w:ind w:right="-333" w:rightChars="-104" w:firstLine="640" w:firstLineChars="200"/>
        <w:textAlignment w:val="auto"/>
        <w:outlineLvl w:val="9"/>
        <w:rPr>
          <w:rFonts w:hint="eastAsia" w:ascii="仿宋" w:hAnsi="仿宋" w:eastAsia="仿宋" w:cs="仿宋"/>
          <w:szCs w:val="32"/>
        </w:rPr>
      </w:pPr>
      <w:r>
        <w:rPr>
          <w:rFonts w:hint="eastAsia" w:ascii="仿宋" w:hAnsi="仿宋" w:eastAsia="仿宋" w:cs="仿宋"/>
          <w:szCs w:val="32"/>
        </w:rPr>
        <w:t>二、</w:t>
      </w:r>
      <w:r>
        <w:rPr>
          <w:rFonts w:hint="eastAsia" w:ascii="仿宋" w:hAnsi="仿宋" w:eastAsia="仿宋" w:cs="仿宋"/>
          <w:szCs w:val="32"/>
          <w:lang w:eastAsia="zh-CN"/>
        </w:rPr>
        <w:t>单位</w:t>
      </w:r>
      <w:r>
        <w:rPr>
          <w:rFonts w:hint="eastAsia" w:ascii="仿宋" w:hAnsi="仿宋" w:eastAsia="仿宋" w:cs="仿宋"/>
          <w:szCs w:val="32"/>
        </w:rPr>
        <w:t>收入总体情况表（预算公开02表）</w:t>
      </w:r>
    </w:p>
    <w:p>
      <w:pPr>
        <w:keepNext w:val="0"/>
        <w:keepLines w:val="0"/>
        <w:pageBreakBefore w:val="0"/>
        <w:widowControl w:val="0"/>
        <w:kinsoku/>
        <w:wordWrap/>
        <w:overflowPunct/>
        <w:topLinePunct w:val="0"/>
        <w:autoSpaceDE/>
        <w:autoSpaceDN/>
        <w:bidi w:val="0"/>
        <w:adjustRightInd w:val="0"/>
        <w:snapToGrid w:val="0"/>
        <w:spacing w:line="560" w:lineRule="exact"/>
        <w:ind w:right="-333" w:rightChars="-104" w:firstLine="640" w:firstLineChars="200"/>
        <w:textAlignment w:val="auto"/>
        <w:outlineLvl w:val="9"/>
        <w:rPr>
          <w:rFonts w:hint="eastAsia" w:ascii="仿宋" w:hAnsi="仿宋" w:eastAsia="仿宋" w:cs="仿宋"/>
          <w:szCs w:val="32"/>
        </w:rPr>
      </w:pPr>
      <w:r>
        <w:rPr>
          <w:rFonts w:hint="eastAsia" w:ascii="仿宋" w:hAnsi="仿宋" w:eastAsia="仿宋" w:cs="仿宋"/>
          <w:szCs w:val="32"/>
        </w:rPr>
        <w:t>三、</w:t>
      </w:r>
      <w:r>
        <w:rPr>
          <w:rFonts w:hint="eastAsia" w:ascii="仿宋" w:hAnsi="仿宋" w:eastAsia="仿宋" w:cs="仿宋"/>
          <w:szCs w:val="32"/>
          <w:lang w:eastAsia="zh-CN"/>
        </w:rPr>
        <w:t>单位</w:t>
      </w:r>
      <w:r>
        <w:rPr>
          <w:rFonts w:hint="eastAsia" w:ascii="仿宋" w:hAnsi="仿宋" w:eastAsia="仿宋" w:cs="仿宋"/>
          <w:szCs w:val="32"/>
        </w:rPr>
        <w:t>支出总体情况表（预算公开03表）</w:t>
      </w:r>
    </w:p>
    <w:p>
      <w:pPr>
        <w:keepNext w:val="0"/>
        <w:keepLines w:val="0"/>
        <w:pageBreakBefore w:val="0"/>
        <w:widowControl w:val="0"/>
        <w:kinsoku/>
        <w:wordWrap/>
        <w:overflowPunct/>
        <w:topLinePunct w:val="0"/>
        <w:autoSpaceDE/>
        <w:autoSpaceDN/>
        <w:bidi w:val="0"/>
        <w:adjustRightInd w:val="0"/>
        <w:snapToGrid w:val="0"/>
        <w:spacing w:line="560" w:lineRule="exact"/>
        <w:ind w:right="-333" w:rightChars="-104" w:firstLine="640" w:firstLineChars="200"/>
        <w:textAlignment w:val="auto"/>
        <w:outlineLvl w:val="9"/>
        <w:rPr>
          <w:rFonts w:hint="eastAsia" w:ascii="仿宋" w:hAnsi="仿宋" w:eastAsia="仿宋" w:cs="仿宋"/>
          <w:szCs w:val="32"/>
        </w:rPr>
      </w:pPr>
      <w:r>
        <w:rPr>
          <w:rFonts w:hint="eastAsia" w:ascii="仿宋" w:hAnsi="仿宋" w:eastAsia="仿宋" w:cs="仿宋"/>
          <w:szCs w:val="32"/>
        </w:rPr>
        <w:t>四、财政拨款收支总体情况表（预算公开04表）</w:t>
      </w:r>
    </w:p>
    <w:p>
      <w:pPr>
        <w:keepNext w:val="0"/>
        <w:keepLines w:val="0"/>
        <w:pageBreakBefore w:val="0"/>
        <w:widowControl w:val="0"/>
        <w:kinsoku/>
        <w:wordWrap/>
        <w:overflowPunct/>
        <w:topLinePunct w:val="0"/>
        <w:autoSpaceDE/>
        <w:autoSpaceDN/>
        <w:bidi w:val="0"/>
        <w:adjustRightInd w:val="0"/>
        <w:snapToGrid w:val="0"/>
        <w:spacing w:line="560" w:lineRule="exact"/>
        <w:ind w:right="-333" w:rightChars="-104" w:firstLine="640" w:firstLineChars="200"/>
        <w:textAlignment w:val="auto"/>
        <w:outlineLvl w:val="9"/>
        <w:rPr>
          <w:rFonts w:hint="eastAsia" w:ascii="仿宋" w:hAnsi="仿宋" w:eastAsia="仿宋" w:cs="仿宋"/>
          <w:szCs w:val="32"/>
        </w:rPr>
      </w:pPr>
      <w:r>
        <w:rPr>
          <w:rFonts w:hint="eastAsia" w:ascii="仿宋" w:hAnsi="仿宋" w:eastAsia="仿宋" w:cs="仿宋"/>
          <w:szCs w:val="32"/>
        </w:rPr>
        <w:t>五、一般公共预算支出情况表（预算公开05表）</w:t>
      </w:r>
    </w:p>
    <w:p>
      <w:pPr>
        <w:keepNext w:val="0"/>
        <w:keepLines w:val="0"/>
        <w:pageBreakBefore w:val="0"/>
        <w:widowControl w:val="0"/>
        <w:kinsoku/>
        <w:wordWrap/>
        <w:overflowPunct/>
        <w:topLinePunct w:val="0"/>
        <w:autoSpaceDE/>
        <w:autoSpaceDN/>
        <w:bidi w:val="0"/>
        <w:adjustRightInd w:val="0"/>
        <w:snapToGrid w:val="0"/>
        <w:spacing w:line="560" w:lineRule="exact"/>
        <w:ind w:right="-333" w:rightChars="-104" w:firstLine="640" w:firstLineChars="200"/>
        <w:textAlignment w:val="auto"/>
        <w:outlineLvl w:val="9"/>
        <w:rPr>
          <w:rFonts w:hint="eastAsia" w:ascii="仿宋" w:hAnsi="仿宋" w:eastAsia="仿宋" w:cs="仿宋"/>
          <w:szCs w:val="32"/>
        </w:rPr>
      </w:pPr>
      <w:r>
        <w:rPr>
          <w:rFonts w:hint="eastAsia" w:ascii="仿宋" w:hAnsi="仿宋" w:eastAsia="仿宋" w:cs="仿宋"/>
          <w:szCs w:val="32"/>
        </w:rPr>
        <w:t>六、一般公共预算基本支出情况表（预算公开06表）</w:t>
      </w:r>
    </w:p>
    <w:p>
      <w:pPr>
        <w:keepNext w:val="0"/>
        <w:keepLines w:val="0"/>
        <w:pageBreakBefore w:val="0"/>
        <w:widowControl w:val="0"/>
        <w:kinsoku/>
        <w:wordWrap/>
        <w:overflowPunct/>
        <w:topLinePunct w:val="0"/>
        <w:autoSpaceDE/>
        <w:autoSpaceDN/>
        <w:bidi w:val="0"/>
        <w:adjustRightInd w:val="0"/>
        <w:snapToGrid w:val="0"/>
        <w:spacing w:line="560" w:lineRule="exact"/>
        <w:ind w:right="-333" w:rightChars="-104" w:firstLine="640" w:firstLineChars="200"/>
        <w:textAlignment w:val="auto"/>
        <w:outlineLvl w:val="9"/>
        <w:rPr>
          <w:rFonts w:hint="eastAsia" w:ascii="仿宋" w:hAnsi="仿宋" w:eastAsia="仿宋" w:cs="仿宋"/>
          <w:szCs w:val="32"/>
        </w:rPr>
      </w:pPr>
      <w:r>
        <w:rPr>
          <w:rFonts w:hint="eastAsia" w:ascii="仿宋" w:hAnsi="仿宋" w:eastAsia="仿宋" w:cs="仿宋"/>
          <w:szCs w:val="32"/>
        </w:rPr>
        <w:t>七、财政拨款“三公”经费、会议费和培训费支出情况表（预算公开07表）</w:t>
      </w:r>
    </w:p>
    <w:p>
      <w:pPr>
        <w:keepNext w:val="0"/>
        <w:keepLines w:val="0"/>
        <w:pageBreakBefore w:val="0"/>
        <w:widowControl w:val="0"/>
        <w:kinsoku/>
        <w:wordWrap/>
        <w:overflowPunct/>
        <w:topLinePunct w:val="0"/>
        <w:autoSpaceDE/>
        <w:autoSpaceDN/>
        <w:bidi w:val="0"/>
        <w:adjustRightInd w:val="0"/>
        <w:snapToGrid w:val="0"/>
        <w:spacing w:line="560" w:lineRule="exact"/>
        <w:ind w:right="-333" w:rightChars="-104" w:firstLine="640" w:firstLineChars="200"/>
        <w:textAlignment w:val="auto"/>
        <w:outlineLvl w:val="9"/>
        <w:rPr>
          <w:rFonts w:hint="eastAsia" w:ascii="仿宋" w:hAnsi="仿宋" w:eastAsia="仿宋" w:cs="仿宋"/>
          <w:szCs w:val="32"/>
        </w:rPr>
      </w:pPr>
      <w:r>
        <w:rPr>
          <w:rFonts w:hint="eastAsia" w:ascii="仿宋" w:hAnsi="仿宋" w:eastAsia="仿宋" w:cs="仿宋"/>
          <w:szCs w:val="32"/>
        </w:rPr>
        <w:t>八、政府性基金预算支出情况表（预算公开08表）</w:t>
      </w:r>
    </w:p>
    <w:p>
      <w:pPr>
        <w:keepNext w:val="0"/>
        <w:keepLines w:val="0"/>
        <w:pageBreakBefore w:val="0"/>
        <w:widowControl w:val="0"/>
        <w:kinsoku/>
        <w:wordWrap/>
        <w:overflowPunct/>
        <w:topLinePunct w:val="0"/>
        <w:autoSpaceDE/>
        <w:autoSpaceDN/>
        <w:bidi w:val="0"/>
        <w:adjustRightInd w:val="0"/>
        <w:snapToGrid w:val="0"/>
        <w:spacing w:line="560" w:lineRule="exact"/>
        <w:ind w:right="-333" w:rightChars="-104" w:firstLine="640" w:firstLineChars="200"/>
        <w:textAlignment w:val="auto"/>
        <w:outlineLvl w:val="9"/>
        <w:rPr>
          <w:rFonts w:hint="eastAsia" w:ascii="仿宋" w:hAnsi="仿宋" w:eastAsia="仿宋" w:cs="仿宋"/>
          <w:szCs w:val="32"/>
        </w:rPr>
      </w:pPr>
      <w:r>
        <w:rPr>
          <w:rFonts w:hint="eastAsia" w:ascii="仿宋" w:hAnsi="仿宋" w:eastAsia="仿宋" w:cs="仿宋"/>
          <w:szCs w:val="32"/>
        </w:rPr>
        <w:t>九、国有资本经营预算支出情况表（预算公开09表）</w:t>
      </w:r>
    </w:p>
    <w:p>
      <w:pPr>
        <w:keepNext w:val="0"/>
        <w:keepLines w:val="0"/>
        <w:pageBreakBefore w:val="0"/>
        <w:widowControl w:val="0"/>
        <w:kinsoku/>
        <w:wordWrap/>
        <w:overflowPunct/>
        <w:topLinePunct w:val="0"/>
        <w:autoSpaceDE/>
        <w:autoSpaceDN/>
        <w:bidi w:val="0"/>
        <w:adjustRightInd w:val="0"/>
        <w:snapToGrid w:val="0"/>
        <w:spacing w:line="560" w:lineRule="exact"/>
        <w:ind w:right="-333" w:rightChars="-104" w:firstLine="640" w:firstLineChars="200"/>
        <w:textAlignment w:val="auto"/>
        <w:outlineLvl w:val="9"/>
        <w:rPr>
          <w:rFonts w:hint="eastAsia" w:ascii="仿宋" w:hAnsi="仿宋" w:eastAsia="仿宋" w:cs="仿宋"/>
          <w:szCs w:val="32"/>
        </w:rPr>
      </w:pPr>
      <w:r>
        <w:rPr>
          <w:rFonts w:hint="eastAsia" w:ascii="仿宋" w:hAnsi="仿宋" w:eastAsia="仿宋" w:cs="仿宋"/>
          <w:szCs w:val="32"/>
        </w:rPr>
        <w:t>十、自治区本级项目绩效目标公开表（预算公开10表）</w:t>
      </w:r>
    </w:p>
    <w:p>
      <w:pPr>
        <w:keepNext w:val="0"/>
        <w:keepLines w:val="0"/>
        <w:pageBreakBefore w:val="0"/>
        <w:widowControl w:val="0"/>
        <w:kinsoku/>
        <w:wordWrap/>
        <w:overflowPunct/>
        <w:topLinePunct w:val="0"/>
        <w:autoSpaceDE/>
        <w:autoSpaceDN/>
        <w:bidi w:val="0"/>
        <w:adjustRightInd w:val="0"/>
        <w:snapToGrid w:val="0"/>
        <w:spacing w:line="560" w:lineRule="exact"/>
        <w:ind w:right="-333" w:rightChars="-104" w:firstLine="640" w:firstLineChars="200"/>
        <w:textAlignment w:val="auto"/>
        <w:outlineLvl w:val="9"/>
        <w:rPr>
          <w:rFonts w:hint="eastAsia" w:ascii="黑体" w:hAnsi="宋体" w:eastAsia="黑体"/>
          <w:bCs/>
          <w:szCs w:val="32"/>
        </w:rPr>
      </w:pPr>
      <w:r>
        <w:rPr>
          <w:rFonts w:hint="eastAsia" w:ascii="仿宋" w:hAnsi="仿宋" w:eastAsia="仿宋" w:cs="仿宋"/>
          <w:szCs w:val="32"/>
        </w:rPr>
        <w:t>十一、自治区对下转移支付项目绩效目标公开表（预算公开11表）</w:t>
      </w:r>
    </w:p>
    <w:p>
      <w:pPr>
        <w:pStyle w:val="2"/>
        <w:adjustRightInd/>
        <w:snapToGrid/>
        <w:spacing w:line="560" w:lineRule="exact"/>
        <w:ind w:firstLine="883" w:firstLineChars="200"/>
        <w:outlineLvl w:val="0"/>
        <w:rPr>
          <w:rFonts w:hint="eastAsia"/>
        </w:rPr>
      </w:pPr>
      <w:r>
        <w:rPr>
          <w:rFonts w:hint="eastAsia"/>
        </w:rPr>
        <w:t>第一部分：单位概况</w:t>
      </w:r>
    </w:p>
    <w:p>
      <w:pPr>
        <w:pStyle w:val="3"/>
        <w:adjustRightInd/>
        <w:snapToGrid/>
        <w:spacing w:line="560" w:lineRule="exact"/>
        <w:ind w:firstLine="642" w:firstLineChars="200"/>
        <w:outlineLvl w:val="1"/>
        <w:rPr>
          <w:rFonts w:hint="eastAsia"/>
        </w:rPr>
      </w:pPr>
      <w:r>
        <w:rPr>
          <w:rFonts w:hint="eastAsia"/>
        </w:rPr>
        <w:t>一、单位主要职能</w:t>
      </w:r>
    </w:p>
    <w:p>
      <w:pPr>
        <w:adjustRightInd w:val="0"/>
        <w:snapToGrid w:val="0"/>
        <w:spacing w:line="560" w:lineRule="atLeast"/>
        <w:ind w:right="-333" w:rightChars="-104" w:firstLine="640" w:firstLineChars="200"/>
        <w:rPr>
          <w:rFonts w:hint="eastAsia" w:ascii="仿宋" w:hAnsi="仿宋" w:eastAsia="仿宋" w:cs="仿宋"/>
          <w:szCs w:val="32"/>
          <w:u w:val="none"/>
        </w:rPr>
      </w:pPr>
      <w:r>
        <w:rPr>
          <w:rFonts w:hint="eastAsia" w:ascii="仿宋" w:hAnsi="仿宋" w:eastAsia="仿宋" w:cs="仿宋"/>
          <w:szCs w:val="32"/>
          <w:u w:val="none"/>
        </w:rPr>
        <w:t>根据《关于自治区交通运输厅所属事业单位清理规范意见的通知》（桂编〔2013〕157号）《自治区党委编办关于调整自治区交通运输厅事业单位机构编制事项的批复》（桂编办复〔2019〕114号）及《自治区党委编办关于自治区本级交通运输综合行政执法改革有关事项的批复》（桂编办复〔2020〕163号）等文件精神等文件精神，</w:t>
      </w:r>
    </w:p>
    <w:p>
      <w:pPr>
        <w:adjustRightInd w:val="0"/>
        <w:snapToGrid w:val="0"/>
        <w:spacing w:line="560" w:lineRule="atLeast"/>
        <w:ind w:right="-333" w:rightChars="-104" w:firstLine="640" w:firstLineChars="200"/>
        <w:rPr>
          <w:rFonts w:hint="eastAsia" w:ascii="仿宋" w:hAnsi="仿宋" w:eastAsia="仿宋" w:cs="仿宋"/>
          <w:szCs w:val="32"/>
          <w:u w:val="none"/>
          <w:lang w:eastAsia="zh-CN"/>
        </w:rPr>
      </w:pPr>
      <w:r>
        <w:rPr>
          <w:rFonts w:hint="eastAsia" w:ascii="仿宋" w:hAnsi="仿宋" w:eastAsia="仿宋" w:cs="仿宋"/>
          <w:szCs w:val="32"/>
          <w:u w:val="none"/>
          <w:lang w:eastAsia="zh-CN"/>
        </w:rPr>
        <w:t>自治区资源</w:t>
      </w:r>
      <w:r>
        <w:rPr>
          <w:rFonts w:hint="eastAsia" w:ascii="仿宋" w:hAnsi="仿宋" w:eastAsia="仿宋" w:cs="仿宋"/>
          <w:szCs w:val="32"/>
          <w:u w:val="none"/>
        </w:rPr>
        <w:t>公路养护中心主要职责为</w:t>
      </w:r>
      <w:r>
        <w:rPr>
          <w:rFonts w:hint="eastAsia" w:ascii="仿宋" w:hAnsi="仿宋" w:eastAsia="仿宋" w:cs="仿宋"/>
          <w:szCs w:val="32"/>
        </w:rPr>
        <w:t>：</w:t>
      </w:r>
    </w:p>
    <w:p>
      <w:pPr>
        <w:keepNext w:val="0"/>
        <w:keepLines w:val="0"/>
        <w:pageBreakBefore w:val="0"/>
        <w:widowControl w:val="0"/>
        <w:kinsoku/>
        <w:wordWrap/>
        <w:overflowPunct/>
        <w:topLinePunct w:val="0"/>
        <w:autoSpaceDE/>
        <w:autoSpaceDN/>
        <w:bidi w:val="0"/>
        <w:adjustRightInd w:val="0"/>
        <w:snapToGrid w:val="0"/>
        <w:spacing w:line="560" w:lineRule="atLeast"/>
        <w:ind w:right="-333" w:rightChars="-104" w:firstLine="640" w:firstLineChars="200"/>
        <w:textAlignment w:val="auto"/>
        <w:outlineLvl w:val="1"/>
        <w:rPr>
          <w:rFonts w:hint="eastAsia" w:ascii="仿宋" w:hAnsi="仿宋" w:eastAsia="仿宋" w:cs="仿宋"/>
          <w:szCs w:val="32"/>
          <w:u w:val="none"/>
        </w:rPr>
      </w:pPr>
      <w:r>
        <w:rPr>
          <w:rStyle w:val="15"/>
          <w:rFonts w:hint="eastAsia" w:ascii="宋体" w:hAnsi="宋体" w:eastAsia="宋体" w:cs="宋体"/>
          <w:b w:val="0"/>
          <w:bCs/>
          <w:lang w:val="en-US" w:eastAsia="zh-CN"/>
        </w:rPr>
        <w:t>（一）</w:t>
      </w:r>
      <w:r>
        <w:rPr>
          <w:rFonts w:hint="eastAsia" w:ascii="仿宋" w:hAnsi="仿宋" w:eastAsia="仿宋" w:cs="仿宋"/>
          <w:szCs w:val="32"/>
          <w:u w:val="none"/>
        </w:rPr>
        <w:t>承担辖区内普通国省干线公路的养护工作；</w:t>
      </w:r>
    </w:p>
    <w:p>
      <w:pPr>
        <w:keepNext w:val="0"/>
        <w:keepLines w:val="0"/>
        <w:pageBreakBefore w:val="0"/>
        <w:widowControl w:val="0"/>
        <w:kinsoku/>
        <w:wordWrap/>
        <w:overflowPunct/>
        <w:topLinePunct w:val="0"/>
        <w:autoSpaceDE/>
        <w:autoSpaceDN/>
        <w:bidi w:val="0"/>
        <w:adjustRightInd w:val="0"/>
        <w:snapToGrid w:val="0"/>
        <w:spacing w:line="560" w:lineRule="exact"/>
        <w:ind w:right="-333" w:rightChars="-104" w:firstLine="640" w:firstLineChars="200"/>
        <w:textAlignment w:val="auto"/>
        <w:outlineLvl w:val="1"/>
        <w:rPr>
          <w:rFonts w:hint="eastAsia" w:ascii="仿宋" w:hAnsi="仿宋" w:eastAsia="仿宋" w:cs="仿宋"/>
          <w:szCs w:val="32"/>
          <w:u w:val="none"/>
        </w:rPr>
      </w:pPr>
      <w:r>
        <w:rPr>
          <w:rFonts w:hint="eastAsia" w:ascii="仿宋" w:hAnsi="仿宋" w:eastAsia="仿宋" w:cs="仿宋"/>
          <w:szCs w:val="32"/>
          <w:u w:val="none"/>
          <w:lang w:val="en-US" w:eastAsia="zh-CN"/>
        </w:rPr>
        <w:t>（二）</w:t>
      </w:r>
      <w:r>
        <w:rPr>
          <w:rFonts w:hint="eastAsia" w:ascii="仿宋" w:hAnsi="仿宋" w:eastAsia="仿宋" w:cs="仿宋"/>
          <w:szCs w:val="32"/>
          <w:u w:val="none"/>
        </w:rPr>
        <w:t>承担辖区内普通国省干线公路路网的监测、预警、信息服务等工作；</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contextualSpacing/>
        <w:textAlignment w:val="auto"/>
        <w:outlineLvl w:val="1"/>
        <w:rPr>
          <w:rFonts w:hint="eastAsia" w:ascii="仿宋" w:hAnsi="仿宋" w:eastAsia="仿宋" w:cs="仿宋"/>
          <w:szCs w:val="32"/>
        </w:rPr>
      </w:pPr>
      <w:r>
        <w:rPr>
          <w:rFonts w:hint="eastAsia" w:ascii="仿宋" w:hAnsi="仿宋" w:eastAsia="仿宋" w:cs="仿宋"/>
          <w:szCs w:val="32"/>
          <w:u w:val="none"/>
          <w:lang w:val="en-US" w:eastAsia="zh-CN"/>
        </w:rPr>
        <w:t>（三）</w:t>
      </w:r>
      <w:r>
        <w:rPr>
          <w:rFonts w:hint="eastAsia" w:ascii="仿宋" w:hAnsi="仿宋" w:eastAsia="仿宋" w:cs="仿宋"/>
          <w:szCs w:val="32"/>
          <w:u w:val="none"/>
        </w:rPr>
        <w:t>承担辖区内普通国省干线公路基础设施的安全防护、应急处置工作。</w:t>
      </w:r>
    </w:p>
    <w:p>
      <w:pPr>
        <w:pStyle w:val="3"/>
        <w:spacing w:line="560" w:lineRule="exact"/>
        <w:ind w:firstLine="642" w:firstLineChars="200"/>
        <w:outlineLvl w:val="1"/>
        <w:rPr>
          <w:rFonts w:hint="eastAsia" w:ascii="Arial" w:hAnsi="Arial" w:eastAsia="黑体" w:cs="Times New Roman"/>
          <w:szCs w:val="24"/>
        </w:rPr>
      </w:pPr>
      <w:r>
        <w:rPr>
          <w:rFonts w:hint="eastAsia" w:ascii="Arial" w:hAnsi="Arial" w:eastAsia="黑体" w:cs="Times New Roman"/>
          <w:szCs w:val="24"/>
        </w:rPr>
        <w:t>二、机构设置情况</w:t>
      </w:r>
    </w:p>
    <w:p>
      <w:pPr>
        <w:spacing w:line="560" w:lineRule="exact"/>
        <w:ind w:firstLine="640" w:firstLineChars="200"/>
        <w:outlineLvl w:val="2"/>
        <w:rPr>
          <w:rFonts w:hint="eastAsia" w:ascii="仿宋_GB2312" w:hAnsi="宋体"/>
          <w:szCs w:val="32"/>
        </w:rPr>
      </w:pPr>
      <w:r>
        <w:rPr>
          <w:rFonts w:hint="eastAsia" w:ascii="仿宋" w:hAnsi="仿宋" w:eastAsia="仿宋" w:cs="仿宋"/>
          <w:kern w:val="2"/>
          <w:sz w:val="32"/>
          <w:szCs w:val="32"/>
          <w:lang w:val="en-US" w:eastAsia="zh-CN" w:bidi="ar-SA"/>
        </w:rPr>
        <w:t>（一）</w:t>
      </w:r>
      <w:r>
        <w:rPr>
          <w:rFonts w:hint="eastAsia" w:ascii="仿宋_GB2312" w:hAnsi="宋体"/>
          <w:szCs w:val="32"/>
          <w:lang w:eastAsia="zh-CN"/>
        </w:rPr>
        <w:t>自治区资源公路养护</w:t>
      </w:r>
      <w:r>
        <w:rPr>
          <w:rFonts w:hint="eastAsia" w:ascii="仿宋_GB2312" w:hAnsi="宋体"/>
          <w:szCs w:val="32"/>
        </w:rPr>
        <w:t>中心内设机构设置情况</w:t>
      </w:r>
    </w:p>
    <w:p>
      <w:pPr>
        <w:spacing w:line="560" w:lineRule="atLeast"/>
        <w:ind w:firstLine="640" w:firstLineChars="200"/>
        <w:rPr>
          <w:rFonts w:hint="eastAsia" w:ascii="仿宋" w:hAnsi="仿宋" w:eastAsia="仿宋" w:cs="仿宋"/>
          <w:szCs w:val="32"/>
        </w:rPr>
      </w:pPr>
      <w:r>
        <w:rPr>
          <w:rFonts w:hint="eastAsia" w:ascii="仿宋" w:hAnsi="仿宋" w:eastAsia="仿宋" w:cs="仿宋"/>
          <w:lang w:eastAsia="zh-CN"/>
        </w:rPr>
        <w:t>自治区资源</w:t>
      </w:r>
      <w:r>
        <w:rPr>
          <w:rFonts w:hint="eastAsia" w:ascii="仿宋" w:hAnsi="仿宋" w:eastAsia="仿宋" w:cs="仿宋"/>
        </w:rPr>
        <w:t>公路养护中心下辖养护站3个，包括：枫木养护站、梅溪养护站、河口养护站。设置以下职能处（室）：办公室、养护与工程管理科、财务科、安全与国有资产管理科、政工科、纪检监察室、路产事务科。</w:t>
      </w:r>
      <w:r>
        <w:rPr>
          <w:rFonts w:hint="eastAsia" w:ascii="仿宋" w:hAnsi="仿宋" w:eastAsia="仿宋" w:cs="仿宋"/>
          <w:szCs w:val="32"/>
        </w:rPr>
        <w:t>各科室具体职能如下：</w:t>
      </w:r>
    </w:p>
    <w:p>
      <w:pPr>
        <w:spacing w:line="560" w:lineRule="exact"/>
        <w:ind w:firstLine="640" w:firstLineChars="200"/>
        <w:rPr>
          <w:rFonts w:hint="eastAsia" w:ascii="仿宋" w:hAnsi="仿宋" w:eastAsia="仿宋" w:cs="仿宋"/>
          <w:szCs w:val="32"/>
        </w:rPr>
      </w:pPr>
      <w:r>
        <w:rPr>
          <w:rFonts w:hint="eastAsia" w:ascii="仿宋" w:hAnsi="仿宋" w:eastAsia="仿宋" w:cs="仿宋"/>
          <w:szCs w:val="32"/>
        </w:rPr>
        <w:t>1.办公室</w:t>
      </w:r>
      <w:r>
        <w:rPr>
          <w:rFonts w:hint="eastAsia" w:ascii="仿宋" w:hAnsi="仿宋" w:eastAsia="仿宋" w:cs="仿宋"/>
          <w:szCs w:val="32"/>
          <w:lang w:eastAsia="zh-CN"/>
        </w:rPr>
        <w:t>：</w:t>
      </w:r>
      <w:r>
        <w:rPr>
          <w:rFonts w:hint="eastAsia" w:ascii="仿宋" w:hAnsi="仿宋" w:eastAsia="仿宋" w:cs="仿宋"/>
          <w:sz w:val="32"/>
        </w:rPr>
        <w:t>负责综合协调中心机关日常行政事务；督查督办领导班子会议、办公会议、领导批示及上级转办重要事项；组织协调综合性大型会议，负责公文处理、文印、政务值班与信息工作；统筹档案、机要、保密、网络安全及信访工作；编写中心大事记，牵头领导重大活动与重要接待；负责机关绩效考核、办公自动化管理维护；牵头办理人大建议、政协提案，起草工作报告等综合性材料；完成领导交办的其他工作。</w:t>
      </w:r>
    </w:p>
    <w:p>
      <w:pPr>
        <w:spacing w:line="600" w:lineRule="exact"/>
        <w:ind w:firstLine="640" w:firstLineChars="200"/>
        <w:rPr>
          <w:rFonts w:hint="eastAsia" w:ascii="仿宋" w:hAnsi="仿宋" w:eastAsia="仿宋" w:cs="仿宋"/>
          <w:sz w:val="32"/>
        </w:rPr>
      </w:pPr>
      <w:r>
        <w:rPr>
          <w:rFonts w:hint="eastAsia" w:ascii="仿宋" w:hAnsi="仿宋" w:eastAsia="仿宋" w:cs="仿宋"/>
          <w:szCs w:val="32"/>
        </w:rPr>
        <w:t>2.养护与工程管理科</w:t>
      </w:r>
      <w:r>
        <w:rPr>
          <w:rFonts w:hint="eastAsia" w:ascii="仿宋" w:hAnsi="仿宋" w:eastAsia="仿宋" w:cs="仿宋"/>
          <w:szCs w:val="32"/>
          <w:lang w:val="en" w:eastAsia="zh-CN"/>
        </w:rPr>
        <w:t>：</w:t>
      </w:r>
      <w:r>
        <w:rPr>
          <w:rFonts w:hint="eastAsia" w:ascii="仿宋" w:hAnsi="仿宋" w:eastAsia="仿宋" w:cs="仿宋"/>
          <w:sz w:val="32"/>
        </w:rPr>
        <w:t>负责普通国省干线公路养护管理，组织路况检测与评定；监督养护大中修、小修保养、路网结构改造、危桥整治、隧道治理、灾害防治及危险路段整治等工程（不含交竣工）。承担交通战备、应急抢险、灾毁恢复、公路绿化、节能减排及阻断信息报送管理。负责路网工程项目监管，开展招投标、设计预算、施工管理、变更审查、交竣工验收、信用评价及建设市场督查；负责养护大中修工程交竣工。管理公路办公及生产用房，组织科研、新技术推广与试验，负责技术档案管理，协助报送统计资料，完成领导交办的其他工作</w:t>
      </w:r>
      <w:r>
        <w:rPr>
          <w:rFonts w:hint="eastAsia" w:ascii="仿宋" w:hAnsi="仿宋" w:eastAsia="仿宋" w:cs="仿宋"/>
          <w:sz w:val="32"/>
          <w:lang w:eastAsia="zh-CN"/>
        </w:rPr>
        <w:t>。</w:t>
      </w:r>
    </w:p>
    <w:p>
      <w:pPr>
        <w:spacing w:line="600" w:lineRule="exact"/>
        <w:ind w:firstLine="640" w:firstLineChars="200"/>
        <w:rPr>
          <w:rFonts w:hint="eastAsia" w:ascii="仿宋" w:hAnsi="仿宋" w:eastAsia="仿宋" w:cs="仿宋"/>
          <w:szCs w:val="32"/>
        </w:rPr>
      </w:pPr>
      <w:r>
        <w:rPr>
          <w:rFonts w:hint="eastAsia" w:ascii="仿宋" w:hAnsi="仿宋" w:eastAsia="仿宋" w:cs="仿宋"/>
          <w:szCs w:val="32"/>
        </w:rPr>
        <w:t>3.</w:t>
      </w:r>
      <w:r>
        <w:rPr>
          <w:rFonts w:hint="eastAsia" w:ascii="仿宋" w:hAnsi="仿宋" w:eastAsia="仿宋" w:cs="仿宋"/>
          <w:szCs w:val="32"/>
          <w:lang w:eastAsia="zh-CN"/>
        </w:rPr>
        <w:t>财务科：</w:t>
      </w:r>
      <w:r>
        <w:rPr>
          <w:rFonts w:hint="eastAsia" w:ascii="仿宋" w:hAnsi="仿宋" w:eastAsia="仿宋" w:cs="仿宋"/>
          <w:sz w:val="32"/>
        </w:rPr>
        <w:t>负责中心资金筹集与监管，组织预决算编制、审核、汇编及上报，指导监督预算执行；负责非税收入汇缴、国库集中支付审核上报；承担公路养护与建设资金的申请、拨付、核算等工作；实施会计电算化，做好日常财务核算与会计档案管理，推进内控体系建设，完成领导交办的其他工作。</w:t>
      </w:r>
    </w:p>
    <w:p>
      <w:pPr>
        <w:spacing w:line="600" w:lineRule="exact"/>
        <w:ind w:firstLine="640" w:firstLineChars="200"/>
        <w:rPr>
          <w:rFonts w:hint="eastAsia" w:ascii="仿宋" w:hAnsi="仿宋" w:eastAsia="仿宋" w:cs="仿宋"/>
          <w:sz w:val="32"/>
        </w:rPr>
      </w:pPr>
      <w:r>
        <w:rPr>
          <w:rFonts w:hint="eastAsia" w:ascii="仿宋" w:hAnsi="仿宋" w:eastAsia="仿宋" w:cs="仿宋"/>
          <w:szCs w:val="32"/>
        </w:rPr>
        <w:t>4.</w:t>
      </w:r>
      <w:r>
        <w:rPr>
          <w:rFonts w:hint="eastAsia" w:ascii="仿宋" w:hAnsi="仿宋" w:eastAsia="仿宋" w:cs="仿宋"/>
          <w:szCs w:val="32"/>
          <w:lang w:eastAsia="zh-CN"/>
        </w:rPr>
        <w:t>安全与国有资产管理科：</w:t>
      </w:r>
      <w:r>
        <w:rPr>
          <w:rFonts w:hint="eastAsia" w:ascii="仿宋" w:hAnsi="仿宋" w:eastAsia="仿宋" w:cs="仿宋"/>
          <w:sz w:val="32"/>
        </w:rPr>
        <w:t>负责普通国省干线公路安全生产监督管理及突发事件应急处置，督导机关及养护站安全生产与应急抢险工作；拟订并监督实施安全和应急管理办法措施，依法参与事故调查处理；督查路网建设及养护安全生产，负责安全与应急信息统计上报，指导管理应急设备和技术。负责辖区公路机构国有资产、政府采购及票据管理，完善并监督执行相关制度；承担资产出租处置审核、资产报表、采购预算与计划审核上报、票据核销等工作；推广养护机械设备新技术，完成领导交办的其他事项。</w:t>
      </w:r>
    </w:p>
    <w:p>
      <w:pPr>
        <w:spacing w:line="620" w:lineRule="exact"/>
        <w:ind w:firstLine="640" w:firstLineChars="200"/>
        <w:rPr>
          <w:rFonts w:hint="eastAsia" w:ascii="仿宋" w:hAnsi="仿宋" w:eastAsia="仿宋" w:cs="仿宋"/>
          <w:sz w:val="32"/>
        </w:rPr>
      </w:pPr>
      <w:r>
        <w:rPr>
          <w:rFonts w:hint="eastAsia" w:ascii="仿宋" w:hAnsi="仿宋" w:eastAsia="仿宋" w:cs="仿宋"/>
          <w:szCs w:val="32"/>
        </w:rPr>
        <w:t>5.</w:t>
      </w:r>
      <w:r>
        <w:rPr>
          <w:rFonts w:hint="eastAsia" w:ascii="仿宋" w:hAnsi="仿宋" w:eastAsia="仿宋" w:cs="仿宋"/>
          <w:szCs w:val="32"/>
          <w:lang w:eastAsia="zh-CN"/>
        </w:rPr>
        <w:t>政工</w:t>
      </w:r>
      <w:r>
        <w:rPr>
          <w:rFonts w:hint="eastAsia" w:ascii="仿宋" w:hAnsi="仿宋" w:eastAsia="仿宋" w:cs="仿宋"/>
          <w:szCs w:val="32"/>
        </w:rPr>
        <w:t>科</w:t>
      </w:r>
      <w:r>
        <w:rPr>
          <w:rFonts w:hint="eastAsia" w:ascii="仿宋" w:hAnsi="仿宋" w:eastAsia="仿宋" w:cs="仿宋"/>
          <w:szCs w:val="32"/>
          <w:lang w:eastAsia="zh-CN"/>
        </w:rPr>
        <w:t>：</w:t>
      </w:r>
      <w:r>
        <w:rPr>
          <w:rFonts w:hint="eastAsia" w:ascii="仿宋" w:hAnsi="仿宋" w:eastAsia="仿宋" w:cs="仿宋"/>
          <w:sz w:val="32"/>
        </w:rPr>
        <w:t>负责中心机关党建、精神文明建设、意识形态、文化建设、思想政治工作及共青团工作；承担党总支日常事务，统筹公路宣传与评优评先。负责组织人事、机构编制、岗位设置、工资福利、社保、职工培训及事业单位登记管理；归口管理专业技术人才与人才引进，承办职称评聘、养护技工考核评审；负责外派及因公出国（境）政审上报，完成领导交办的其他事项。</w:t>
      </w:r>
    </w:p>
    <w:p>
      <w:pPr>
        <w:spacing w:line="600" w:lineRule="exact"/>
        <w:ind w:firstLine="640" w:firstLineChars="200"/>
        <w:rPr>
          <w:rFonts w:hint="eastAsia" w:ascii="仿宋" w:hAnsi="仿宋" w:eastAsia="仿宋" w:cs="仿宋"/>
          <w:sz w:val="32"/>
        </w:rPr>
      </w:pPr>
      <w:r>
        <w:rPr>
          <w:rFonts w:hint="eastAsia" w:ascii="仿宋" w:hAnsi="仿宋" w:eastAsia="仿宋" w:cs="仿宋"/>
          <w:szCs w:val="32"/>
        </w:rPr>
        <w:t>6.</w:t>
      </w:r>
      <w:r>
        <w:rPr>
          <w:rFonts w:hint="eastAsia" w:ascii="仿宋" w:hAnsi="仿宋" w:eastAsia="仿宋" w:cs="仿宋"/>
          <w:szCs w:val="32"/>
          <w:lang w:eastAsia="zh-CN"/>
        </w:rPr>
        <w:t>纪检监察室：</w:t>
      </w:r>
      <w:r>
        <w:rPr>
          <w:rFonts w:hint="eastAsia" w:ascii="仿宋" w:hAnsi="仿宋" w:eastAsia="仿宋" w:cs="仿宋"/>
          <w:sz w:val="32"/>
        </w:rPr>
        <w:t>负责中心机关纪检监察与行业行政效能监察；监督党组织、党员及干部职工贯彻执行党和国家方针政策及权力行使情况。协助党总支加强党风廉政建设，组织协调反腐败工作，查处违纪违法案件，纠正不正之风；开展党风党纪、党内法规及廉政教育，负责党总支巡察实施，完成领导交办的其他事项。</w:t>
      </w:r>
    </w:p>
    <w:p>
      <w:pPr>
        <w:spacing w:line="600" w:lineRule="exact"/>
        <w:ind w:firstLine="640" w:firstLineChars="200"/>
        <w:rPr>
          <w:rFonts w:hint="eastAsia" w:ascii="仿宋" w:hAnsi="仿宋" w:eastAsia="仿宋" w:cs="仿宋"/>
          <w:sz w:val="32"/>
        </w:rPr>
      </w:pPr>
      <w:r>
        <w:rPr>
          <w:rFonts w:hint="eastAsia" w:ascii="仿宋" w:hAnsi="仿宋" w:eastAsia="仿宋" w:cs="仿宋"/>
          <w:szCs w:val="32"/>
        </w:rPr>
        <w:t>7.</w:t>
      </w:r>
      <w:r>
        <w:rPr>
          <w:rFonts w:hint="eastAsia" w:ascii="仿宋" w:hAnsi="仿宋" w:eastAsia="仿宋" w:cs="仿宋"/>
          <w:szCs w:val="32"/>
          <w:lang w:eastAsia="zh-CN"/>
        </w:rPr>
        <w:t>路产事务</w:t>
      </w:r>
      <w:r>
        <w:rPr>
          <w:rFonts w:hint="eastAsia" w:ascii="仿宋" w:hAnsi="仿宋" w:eastAsia="仿宋" w:cs="仿宋"/>
          <w:szCs w:val="32"/>
        </w:rPr>
        <w:t>科</w:t>
      </w:r>
      <w:r>
        <w:rPr>
          <w:rFonts w:hint="eastAsia" w:ascii="仿宋" w:hAnsi="仿宋" w:eastAsia="仿宋" w:cs="仿宋"/>
          <w:szCs w:val="32"/>
          <w:lang w:eastAsia="zh-CN"/>
        </w:rPr>
        <w:t>：</w:t>
      </w:r>
      <w:r>
        <w:rPr>
          <w:rFonts w:hint="eastAsia" w:ascii="仿宋" w:hAnsi="仿宋" w:eastAsia="仿宋" w:cs="仿宋"/>
          <w:sz w:val="32"/>
        </w:rPr>
        <w:t xml:space="preserve">负责公路行业立法上报与配合起草，办理法律法规草案征求意见；开展公路法律法规宣传与普法工作，承担中心重大决策及合同法制审核。负责综治维稳，建立国省干线公路路产档案；协调执法机构做好路产路权保护，对侵占、损坏路产等行为追责追偿；协助上级做好涉路许可，处理其他涉法事务，完成领导交办的其他工作。          </w:t>
      </w:r>
    </w:p>
    <w:p>
      <w:pPr>
        <w:numPr>
          <w:ilvl w:val="0"/>
          <w:numId w:val="0"/>
        </w:numPr>
        <w:adjustRightInd w:val="0"/>
        <w:snapToGrid w:val="0"/>
        <w:spacing w:line="560" w:lineRule="exact"/>
        <w:ind w:right="-333" w:rightChars="-104" w:firstLine="640" w:firstLineChars="200"/>
        <w:outlineLvl w:val="2"/>
        <w:rPr>
          <w:rFonts w:hint="eastAsia" w:ascii="仿宋" w:hAnsi="仿宋" w:eastAsia="仿宋" w:cs="仿宋"/>
          <w:szCs w:val="32"/>
          <w:lang w:val="en-US" w:eastAsia="zh-CN"/>
        </w:rPr>
      </w:pPr>
      <w:r>
        <w:rPr>
          <w:rFonts w:hint="eastAsia" w:ascii="仿宋" w:hAnsi="仿宋" w:eastAsia="仿宋" w:cs="仿宋"/>
          <w:kern w:val="2"/>
          <w:sz w:val="32"/>
          <w:szCs w:val="32"/>
          <w:lang w:val="en-US" w:eastAsia="zh-CN" w:bidi="ar-SA"/>
        </w:rPr>
        <w:t>（二）</w:t>
      </w:r>
      <w:r>
        <w:rPr>
          <w:rFonts w:hint="eastAsia" w:ascii="仿宋" w:hAnsi="仿宋" w:eastAsia="仿宋" w:cs="仿宋"/>
          <w:szCs w:val="32"/>
          <w:lang w:eastAsia="zh-CN"/>
        </w:rPr>
        <w:t>自治区资源公路养护中心单位设置情况</w:t>
      </w:r>
    </w:p>
    <w:p>
      <w:pPr>
        <w:numPr>
          <w:ilvl w:val="0"/>
          <w:numId w:val="0"/>
        </w:numPr>
        <w:adjustRightInd w:val="0"/>
        <w:snapToGrid w:val="0"/>
        <w:spacing w:line="560" w:lineRule="atLeast"/>
        <w:ind w:right="-333" w:rightChars="-104" w:firstLine="640" w:firstLineChars="200"/>
        <w:rPr>
          <w:rFonts w:hint="eastAsia" w:ascii="仿宋" w:hAnsi="仿宋" w:eastAsia="仿宋" w:cs="仿宋"/>
          <w:b w:val="0"/>
          <w:bCs w:val="0"/>
          <w:szCs w:val="32"/>
          <w:highlight w:val="none"/>
          <w:u w:val="none"/>
          <w:lang w:val="en-US" w:eastAsia="zh-CN"/>
        </w:rPr>
      </w:pPr>
      <w:r>
        <w:rPr>
          <w:rFonts w:hint="eastAsia" w:ascii="仿宋" w:hAnsi="仿宋" w:eastAsia="仿宋" w:cs="仿宋"/>
          <w:szCs w:val="32"/>
          <w:lang w:val="en-US" w:eastAsia="zh-CN"/>
        </w:rPr>
        <w:t>1.</w:t>
      </w:r>
      <w:r>
        <w:rPr>
          <w:rFonts w:hint="eastAsia" w:ascii="仿宋" w:hAnsi="仿宋" w:eastAsia="仿宋" w:cs="仿宋"/>
          <w:b w:val="0"/>
          <w:bCs w:val="0"/>
          <w:szCs w:val="32"/>
          <w:highlight w:val="none"/>
          <w:u w:val="none"/>
          <w:lang w:val="en-US" w:eastAsia="zh-CN"/>
        </w:rPr>
        <w:t>单位数量、名称和性质</w:t>
      </w:r>
    </w:p>
    <w:p>
      <w:pPr>
        <w:adjustRightInd w:val="0"/>
        <w:snapToGrid w:val="0"/>
        <w:spacing w:line="560" w:lineRule="exact"/>
        <w:ind w:right="-333" w:rightChars="-104" w:firstLine="640" w:firstLineChars="200"/>
        <w:rPr>
          <w:rFonts w:hint="eastAsia" w:ascii="仿宋" w:hAnsi="仿宋" w:eastAsia="仿宋" w:cs="仿宋"/>
          <w:szCs w:val="32"/>
        </w:rPr>
      </w:pPr>
      <w:r>
        <w:rPr>
          <w:rFonts w:hint="eastAsia" w:ascii="仿宋" w:hAnsi="仿宋" w:eastAsia="仿宋" w:cs="仿宋"/>
          <w:szCs w:val="32"/>
        </w:rPr>
        <w:t>根据《自治区党委编办关于调整自治区交通运输厅事业单位机构编制事项的批复》（桂编办复〔2019〕114号）文件精神，</w:t>
      </w:r>
      <w:r>
        <w:rPr>
          <w:rFonts w:hint="eastAsia" w:ascii="仿宋" w:hAnsi="仿宋" w:eastAsia="仿宋" w:cs="仿宋"/>
          <w:szCs w:val="32"/>
          <w:lang w:eastAsia="zh-CN"/>
        </w:rPr>
        <w:t>自治区资源</w:t>
      </w:r>
      <w:r>
        <w:rPr>
          <w:rFonts w:hint="eastAsia" w:ascii="仿宋" w:hAnsi="仿宋" w:eastAsia="仿宋" w:cs="仿宋"/>
          <w:szCs w:val="32"/>
        </w:rPr>
        <w:t>公路养护中心部门预算共1个预算单位，按照单位性质分类为：自收自支管理的公益一类事业单位</w:t>
      </w:r>
    </w:p>
    <w:p>
      <w:pPr>
        <w:adjustRightInd w:val="0"/>
        <w:snapToGrid w:val="0"/>
        <w:spacing w:line="560" w:lineRule="exact"/>
        <w:ind w:right="-333" w:rightChars="-104" w:firstLine="640" w:firstLineChars="200"/>
        <w:rPr>
          <w:rFonts w:hint="eastAsia" w:ascii="仿宋" w:hAnsi="仿宋" w:eastAsia="仿宋" w:cs="仿宋"/>
          <w:szCs w:val="32"/>
          <w:lang w:val="en-US" w:eastAsia="zh-CN"/>
        </w:rPr>
      </w:pPr>
      <w:r>
        <w:rPr>
          <w:rFonts w:hint="eastAsia" w:ascii="仿宋" w:hAnsi="仿宋" w:eastAsia="仿宋" w:cs="仿宋"/>
          <w:szCs w:val="32"/>
        </w:rPr>
        <w:t>2.单位职能</w:t>
      </w:r>
    </w:p>
    <w:p>
      <w:pPr>
        <w:adjustRightInd w:val="0"/>
        <w:snapToGrid w:val="0"/>
        <w:spacing w:line="560" w:lineRule="exact"/>
        <w:ind w:right="-333" w:rightChars="-104" w:firstLine="640" w:firstLineChars="200"/>
        <w:rPr>
          <w:rFonts w:hint="eastAsia" w:ascii="仿宋" w:hAnsi="仿宋" w:eastAsia="仿宋" w:cs="仿宋"/>
          <w:szCs w:val="32"/>
        </w:rPr>
      </w:pPr>
      <w:r>
        <w:rPr>
          <w:rFonts w:hint="eastAsia" w:ascii="仿宋" w:hAnsi="仿宋" w:eastAsia="仿宋" w:cs="仿宋"/>
          <w:szCs w:val="32"/>
          <w:lang w:val="en-US" w:eastAsia="zh-CN"/>
        </w:rPr>
        <w:t>自治区资源公路养护中心</w:t>
      </w:r>
      <w:r>
        <w:rPr>
          <w:rFonts w:hint="eastAsia" w:ascii="仿宋" w:hAnsi="仿宋" w:eastAsia="仿宋" w:cs="仿宋"/>
          <w:szCs w:val="32"/>
        </w:rPr>
        <w:t>主要职能为：承担辖区内普通国省干线公路的养护工作；承担辖区内普通国省干线公路路网的监测、预警、信息服务等工作；承担辖区内普通国省干线公路基础设施的安全防护、应急处置工作。</w:t>
      </w:r>
    </w:p>
    <w:p>
      <w:pPr>
        <w:pStyle w:val="2"/>
        <w:spacing w:line="560" w:lineRule="exact"/>
        <w:ind w:firstLine="883" w:firstLineChars="200"/>
        <w:outlineLvl w:val="0"/>
        <w:rPr>
          <w:rFonts w:hint="eastAsia"/>
        </w:rPr>
      </w:pPr>
      <w:r>
        <w:rPr>
          <w:rFonts w:hint="eastAsia"/>
        </w:rPr>
        <w:t>第二部分：</w:t>
      </w:r>
      <w:r>
        <w:rPr>
          <w:rFonts w:hint="eastAsia"/>
          <w:lang w:eastAsia="zh-CN"/>
        </w:rPr>
        <w:t>自治区</w:t>
      </w:r>
      <w:r>
        <w:rPr>
          <w:rFonts w:hint="eastAsia"/>
          <w:lang w:val="en-US" w:eastAsia="zh-CN"/>
        </w:rPr>
        <w:t>资源公路养护</w:t>
      </w:r>
      <w:r>
        <w:rPr>
          <w:rFonts w:hint="eastAsia"/>
          <w:lang w:eastAsia="zh-CN"/>
        </w:rPr>
        <w:t>中心</w:t>
      </w:r>
      <w:r>
        <w:rPr>
          <w:rFonts w:hint="eastAsia"/>
        </w:rPr>
        <w:t>202</w:t>
      </w:r>
      <w:r>
        <w:rPr>
          <w:rFonts w:hint="eastAsia"/>
          <w:lang w:val="en-US" w:eastAsia="zh-CN"/>
        </w:rPr>
        <w:t>6</w:t>
      </w:r>
      <w:r>
        <w:rPr>
          <w:rFonts w:hint="eastAsia"/>
        </w:rPr>
        <w:t>年预算情况说明</w:t>
      </w:r>
    </w:p>
    <w:p>
      <w:pPr>
        <w:tabs>
          <w:tab w:val="center" w:pos="4475"/>
        </w:tabs>
        <w:spacing w:line="560" w:lineRule="exact"/>
        <w:ind w:firstLine="645"/>
        <w:outlineLvl w:val="1"/>
        <w:rPr>
          <w:rFonts w:hint="eastAsia" w:ascii="黑体" w:eastAsia="黑体"/>
          <w:szCs w:val="32"/>
        </w:rPr>
      </w:pPr>
      <w:r>
        <w:rPr>
          <w:rStyle w:val="15"/>
        </w:rPr>
        <w:t>一、单位预算收支增减变化情况说明</w:t>
      </w:r>
    </w:p>
    <w:p>
      <w:pPr>
        <w:adjustRightInd w:val="0"/>
        <w:snapToGrid w:val="0"/>
        <w:spacing w:line="560" w:lineRule="exact"/>
        <w:ind w:right="-333" w:rightChars="-104" w:firstLine="640" w:firstLineChars="200"/>
        <w:rPr>
          <w:rFonts w:hint="eastAsia" w:ascii="仿宋" w:hAnsi="仿宋" w:eastAsia="仿宋" w:cs="仿宋"/>
          <w:szCs w:val="32"/>
          <w:lang w:val="en-US" w:eastAsia="zh-CN"/>
        </w:rPr>
      </w:pPr>
      <w:r>
        <w:rPr>
          <w:rFonts w:hint="eastAsia" w:ascii="仿宋" w:hAnsi="仿宋" w:eastAsia="仿宋" w:cs="仿宋"/>
          <w:szCs w:val="32"/>
          <w:lang w:val="en-US" w:eastAsia="zh-CN"/>
        </w:rPr>
        <w:t>自治区资源公路养护中心2026年收入总预算2,148万元，同比增加211.01万元，增长10.89%。主要原因是2026年成品油价格和税费改革中央转移支付增长性资金1,007.27万元，较2025年的734.57万元增加272.70万元，增长37.12%。</w:t>
      </w:r>
    </w:p>
    <w:p>
      <w:pPr>
        <w:adjustRightInd w:val="0"/>
        <w:snapToGrid w:val="0"/>
        <w:spacing w:line="560" w:lineRule="exact"/>
        <w:ind w:right="-333" w:rightChars="-104" w:firstLine="640" w:firstLineChars="200"/>
        <w:outlineLvl w:val="9"/>
        <w:rPr>
          <w:rFonts w:hint="eastAsia" w:ascii="Arial" w:hAnsi="Arial" w:eastAsia="黑体" w:cs="Times New Roman"/>
          <w:b/>
          <w:szCs w:val="24"/>
        </w:rPr>
      </w:pPr>
      <w:r>
        <w:rPr>
          <w:rFonts w:hint="eastAsia" w:ascii="仿宋" w:hAnsi="仿宋" w:eastAsia="仿宋" w:cs="仿宋"/>
          <w:szCs w:val="32"/>
        </w:rPr>
        <w:t>总支出较上年增加211.01万元，增长10.89%，主要原因是有人员退休，基本支出减少2.79万元；2026年成品油价格和税费改革中央转移支付增长性资金1,007.27万元，较2025年的734.57万元增加272.70万元，项目支出增长213.80万元。</w:t>
      </w:r>
    </w:p>
    <w:p>
      <w:pPr>
        <w:tabs>
          <w:tab w:val="center" w:pos="4475"/>
        </w:tabs>
        <w:spacing w:line="560" w:lineRule="exact"/>
        <w:ind w:firstLine="645"/>
        <w:outlineLvl w:val="1"/>
        <w:rPr>
          <w:rFonts w:hint="eastAsia" w:ascii="黑体" w:eastAsia="黑体"/>
          <w:szCs w:val="32"/>
        </w:rPr>
      </w:pPr>
      <w:r>
        <w:rPr>
          <w:rFonts w:hint="eastAsia" w:ascii="Arial" w:hAnsi="Arial" w:eastAsia="黑体" w:cs="Times New Roman"/>
          <w:b/>
          <w:szCs w:val="24"/>
        </w:rPr>
        <w:t>二、单位预算收入总体情况说明</w:t>
      </w:r>
    </w:p>
    <w:p>
      <w:pPr>
        <w:adjustRightInd/>
        <w:snapToGrid/>
        <w:spacing w:before="203" w:line="343" w:lineRule="auto"/>
        <w:ind w:right="0" w:rightChars="0" w:firstLine="645" w:firstLineChars="0"/>
        <w:rPr>
          <w:rFonts w:hint="eastAsia" w:ascii="仿宋" w:hAnsi="仿宋" w:eastAsia="仿宋" w:cs="仿宋"/>
          <w:szCs w:val="32"/>
          <w:lang w:eastAsia="zh-CN"/>
        </w:rPr>
      </w:pPr>
      <w:r>
        <w:rPr>
          <w:rFonts w:hint="eastAsia" w:ascii="仿宋" w:hAnsi="仿宋" w:eastAsia="仿宋" w:cs="仿宋"/>
          <w:szCs w:val="32"/>
          <w:lang w:eastAsia="zh-CN"/>
        </w:rPr>
        <w:t>自治区资源公路养护中心</w:t>
      </w:r>
      <w:r>
        <w:rPr>
          <w:rFonts w:hint="eastAsia" w:ascii="仿宋" w:hAnsi="仿宋" w:eastAsia="仿宋" w:cs="仿宋"/>
          <w:szCs w:val="32"/>
        </w:rPr>
        <w:t>2026年总收入2,148万元，同比增加211.01万元，增长10.89%。主要原因是2026年成品油价格和税费改革中央转移支付增长性资金1,007.27万元，较2025年的734.57万元增加272.70万元，增长37.12%。其中：</w:t>
      </w:r>
    </w:p>
    <w:p>
      <w:pPr>
        <w:keepNext w:val="0"/>
        <w:keepLines w:val="0"/>
        <w:pageBreakBefore w:val="0"/>
        <w:widowControl w:val="0"/>
        <w:numPr>
          <w:ilvl w:val="0"/>
          <w:numId w:val="0"/>
        </w:numPr>
        <w:tabs>
          <w:tab w:val="center" w:pos="4475"/>
        </w:tabs>
        <w:kinsoku/>
        <w:wordWrap/>
        <w:overflowPunct/>
        <w:topLinePunct w:val="0"/>
        <w:autoSpaceDE/>
        <w:autoSpaceDN/>
        <w:bidi w:val="0"/>
        <w:adjustRightInd/>
        <w:snapToGrid/>
        <w:spacing w:line="560" w:lineRule="exact"/>
        <w:ind w:firstLine="640" w:firstLineChars="200"/>
        <w:textAlignment w:val="auto"/>
        <w:outlineLvl w:val="1"/>
        <w:rPr>
          <w:rFonts w:hint="eastAsia" w:ascii="仿宋" w:hAnsi="仿宋" w:eastAsia="仿宋" w:cs="仿宋"/>
          <w:color w:val="000000"/>
          <w:kern w:val="2"/>
          <w:sz w:val="32"/>
          <w:szCs w:val="32"/>
          <w:lang w:val="en-US" w:eastAsia="zh-CN" w:bidi="ar-SA"/>
        </w:rPr>
      </w:pPr>
      <w:r>
        <w:rPr>
          <w:rFonts w:hint="eastAsia" w:ascii="仿宋" w:hAnsi="仿宋" w:eastAsia="仿宋" w:cs="仿宋"/>
          <w:color w:val="000000"/>
          <w:kern w:val="2"/>
          <w:sz w:val="32"/>
          <w:szCs w:val="32"/>
          <w:lang w:val="en-US" w:eastAsia="zh-CN" w:bidi="ar-SA"/>
        </w:rPr>
        <w:t>（一）</w:t>
      </w:r>
      <w:r>
        <w:rPr>
          <w:rFonts w:hint="eastAsia" w:ascii="仿宋" w:hAnsi="仿宋" w:eastAsia="仿宋" w:cs="仿宋"/>
          <w:color w:val="000000"/>
          <w:szCs w:val="32"/>
        </w:rPr>
        <w:t>一般公共预算收入2,148万元，同比增加211.01万元，增长10.89%。增长主要原因是2026年成品油价格和税费改革中央转移支付增长性资金1,007.27万元，较2025年的734.57万元增加272.70万元，增长37.12%。其中成品油价格和税费改革中央转移支付替代返还资金1,140.73万元、成品油价格和税费改革中央转移支付增长性资金1,007.27万元、取消二级路政府还贷补助资金0万元、交通运输领域专项资金、交通运输领域重点项目资金0万元。</w:t>
      </w:r>
    </w:p>
    <w:p>
      <w:pPr>
        <w:keepNext w:val="0"/>
        <w:keepLines w:val="0"/>
        <w:pageBreakBefore w:val="0"/>
        <w:widowControl w:val="0"/>
        <w:numPr>
          <w:ilvl w:val="0"/>
          <w:numId w:val="0"/>
        </w:numPr>
        <w:tabs>
          <w:tab w:val="center" w:pos="4475"/>
        </w:tabs>
        <w:kinsoku/>
        <w:wordWrap/>
        <w:overflowPunct/>
        <w:topLinePunct w:val="0"/>
        <w:autoSpaceDE/>
        <w:autoSpaceDN/>
        <w:bidi w:val="0"/>
        <w:adjustRightInd/>
        <w:snapToGrid/>
        <w:spacing w:line="560" w:lineRule="exact"/>
        <w:ind w:firstLine="640" w:firstLineChars="200"/>
        <w:textAlignment w:val="auto"/>
        <w:outlineLvl w:val="1"/>
        <w:rPr>
          <w:rFonts w:hint="eastAsia" w:ascii="仿宋" w:hAnsi="仿宋" w:eastAsia="仿宋" w:cs="仿宋"/>
          <w:color w:val="000000"/>
          <w:szCs w:val="32"/>
          <w:highlight w:val="none"/>
          <w:lang w:eastAsia="zh-CN"/>
        </w:rPr>
      </w:pPr>
      <w:r>
        <w:rPr>
          <w:rFonts w:hint="eastAsia" w:ascii="仿宋" w:hAnsi="仿宋" w:eastAsia="仿宋" w:cs="仿宋"/>
          <w:color w:val="000000"/>
          <w:kern w:val="2"/>
          <w:sz w:val="32"/>
          <w:szCs w:val="32"/>
          <w:lang w:val="en-US" w:eastAsia="zh-CN" w:bidi="ar-SA"/>
        </w:rPr>
        <w:t>（二）</w:t>
      </w:r>
      <w:r>
        <w:rPr>
          <w:rFonts w:hint="eastAsia" w:ascii="仿宋" w:hAnsi="仿宋" w:eastAsia="仿宋" w:cs="仿宋"/>
          <w:color w:val="000000"/>
          <w:szCs w:val="32"/>
          <w:highlight w:val="none"/>
        </w:rPr>
        <w:t>政府性基金预算收入</w:t>
      </w:r>
      <w:r>
        <w:rPr>
          <w:rFonts w:hint="eastAsia" w:ascii="仿宋" w:hAnsi="仿宋" w:eastAsia="仿宋" w:cs="仿宋"/>
          <w:color w:val="000000"/>
          <w:szCs w:val="32"/>
          <w:highlight w:val="none"/>
          <w:lang w:val="en-US" w:eastAsia="zh-CN"/>
        </w:rPr>
        <w:t>0</w:t>
      </w:r>
      <w:r>
        <w:rPr>
          <w:rFonts w:hint="eastAsia" w:ascii="仿宋" w:hAnsi="仿宋" w:eastAsia="仿宋" w:cs="仿宋"/>
          <w:color w:val="000000"/>
          <w:szCs w:val="32"/>
          <w:highlight w:val="none"/>
        </w:rPr>
        <w:t>万元，</w:t>
      </w:r>
      <w:r>
        <w:rPr>
          <w:rFonts w:hint="eastAsia" w:ascii="仿宋" w:hAnsi="仿宋" w:eastAsia="仿宋" w:cs="仿宋"/>
          <w:color w:val="000000"/>
          <w:szCs w:val="32"/>
          <w:highlight w:val="none"/>
          <w:lang w:val="en-US" w:eastAsia="zh-CN"/>
        </w:rPr>
        <w:t>与上年对比无变化</w:t>
      </w:r>
      <w:r>
        <w:rPr>
          <w:rFonts w:hint="eastAsia" w:ascii="仿宋" w:hAnsi="仿宋" w:eastAsia="仿宋" w:cs="仿宋"/>
          <w:b w:val="0"/>
          <w:bCs w:val="0"/>
          <w:color w:val="000000"/>
          <w:sz w:val="32"/>
          <w:szCs w:val="32"/>
          <w:highlight w:val="none"/>
          <w:u w:val="none"/>
        </w:rPr>
        <w:t>。</w:t>
      </w:r>
    </w:p>
    <w:p>
      <w:pPr>
        <w:keepNext w:val="0"/>
        <w:keepLines w:val="0"/>
        <w:pageBreakBefore w:val="0"/>
        <w:widowControl w:val="0"/>
        <w:numPr>
          <w:ilvl w:val="0"/>
          <w:numId w:val="0"/>
        </w:numPr>
        <w:tabs>
          <w:tab w:val="center" w:pos="4475"/>
        </w:tabs>
        <w:kinsoku/>
        <w:wordWrap/>
        <w:overflowPunct/>
        <w:topLinePunct w:val="0"/>
        <w:autoSpaceDE/>
        <w:autoSpaceDN/>
        <w:bidi w:val="0"/>
        <w:adjustRightInd/>
        <w:snapToGrid/>
        <w:spacing w:line="560" w:lineRule="exact"/>
        <w:ind w:firstLine="640" w:firstLineChars="200"/>
        <w:textAlignment w:val="auto"/>
        <w:outlineLvl w:val="1"/>
        <w:rPr>
          <w:rFonts w:hint="eastAsia" w:ascii="仿宋" w:hAnsi="仿宋" w:eastAsia="仿宋" w:cs="仿宋"/>
          <w:color w:val="000000"/>
          <w:szCs w:val="32"/>
          <w:highlight w:val="none"/>
          <w:lang w:eastAsia="zh-CN"/>
        </w:rPr>
      </w:pPr>
      <w:r>
        <w:rPr>
          <w:rFonts w:hint="eastAsia" w:ascii="仿宋" w:hAnsi="仿宋" w:eastAsia="仿宋" w:cs="仿宋"/>
          <w:color w:val="000000"/>
          <w:kern w:val="2"/>
          <w:sz w:val="32"/>
          <w:szCs w:val="32"/>
          <w:lang w:val="en-US" w:eastAsia="zh-CN" w:bidi="ar-SA"/>
        </w:rPr>
        <w:t>（三）</w:t>
      </w:r>
      <w:r>
        <w:rPr>
          <w:rFonts w:hint="eastAsia" w:ascii="仿宋" w:hAnsi="仿宋" w:eastAsia="仿宋" w:cs="仿宋"/>
          <w:color w:val="000000"/>
          <w:szCs w:val="32"/>
          <w:highlight w:val="none"/>
        </w:rPr>
        <w:t>财政专户管理资金收入</w:t>
      </w:r>
      <w:r>
        <w:rPr>
          <w:rFonts w:hint="eastAsia" w:ascii="仿宋" w:hAnsi="仿宋" w:eastAsia="仿宋" w:cs="仿宋"/>
          <w:color w:val="000000"/>
          <w:szCs w:val="32"/>
          <w:lang w:val="en-US" w:eastAsia="zh-CN"/>
        </w:rPr>
        <w:t>0</w:t>
      </w:r>
      <w:r>
        <w:rPr>
          <w:rFonts w:hint="eastAsia" w:ascii="仿宋" w:hAnsi="仿宋" w:eastAsia="仿宋" w:cs="仿宋"/>
          <w:color w:val="000000"/>
          <w:szCs w:val="32"/>
        </w:rPr>
        <w:t>万元，</w:t>
      </w:r>
      <w:r>
        <w:rPr>
          <w:rFonts w:hint="eastAsia" w:ascii="仿宋" w:hAnsi="仿宋" w:eastAsia="仿宋" w:cs="仿宋"/>
          <w:color w:val="000000"/>
          <w:szCs w:val="32"/>
          <w:highlight w:val="none"/>
          <w:lang w:val="en-US" w:eastAsia="zh-CN"/>
        </w:rPr>
        <w:t>与上年对比无变化</w:t>
      </w:r>
      <w:r>
        <w:rPr>
          <w:rFonts w:hint="eastAsia" w:ascii="仿宋" w:hAnsi="仿宋" w:eastAsia="仿宋" w:cs="仿宋"/>
          <w:color w:val="000000"/>
          <w:szCs w:val="32"/>
          <w:lang w:eastAsia="zh-CN"/>
        </w:rPr>
        <w:t>。</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outlineLvl w:val="1"/>
        <w:rPr>
          <w:rFonts w:hint="eastAsia" w:ascii="仿宋" w:hAnsi="仿宋" w:eastAsia="仿宋" w:cs="仿宋"/>
          <w:color w:val="000000"/>
          <w:szCs w:val="32"/>
          <w:highlight w:val="none"/>
          <w:lang w:eastAsia="zh-CN"/>
        </w:rPr>
      </w:pPr>
      <w:r>
        <w:rPr>
          <w:rFonts w:hint="eastAsia" w:ascii="仿宋" w:hAnsi="仿宋" w:eastAsia="仿宋" w:cs="仿宋"/>
          <w:color w:val="000000"/>
          <w:szCs w:val="32"/>
          <w:highlight w:val="none"/>
          <w:lang w:eastAsia="zh-CN"/>
        </w:rPr>
        <w:t>（四）</w:t>
      </w:r>
      <w:r>
        <w:rPr>
          <w:rFonts w:hint="eastAsia" w:ascii="仿宋" w:hAnsi="仿宋" w:eastAsia="仿宋" w:cs="仿宋"/>
          <w:color w:val="000000"/>
          <w:szCs w:val="32"/>
          <w:highlight w:val="none"/>
        </w:rPr>
        <w:t>单位资金收入</w:t>
      </w:r>
      <w:r>
        <w:rPr>
          <w:rFonts w:hint="eastAsia" w:ascii="仿宋" w:hAnsi="仿宋" w:eastAsia="仿宋" w:cs="仿宋"/>
          <w:color w:val="000000"/>
          <w:szCs w:val="32"/>
          <w:highlight w:val="none"/>
          <w:lang w:val="en-US" w:eastAsia="zh-CN"/>
        </w:rPr>
        <w:t>0</w:t>
      </w:r>
      <w:r>
        <w:rPr>
          <w:rFonts w:hint="eastAsia" w:ascii="仿宋" w:hAnsi="仿宋" w:eastAsia="仿宋" w:cs="仿宋"/>
          <w:color w:val="000000"/>
          <w:szCs w:val="32"/>
          <w:highlight w:val="none"/>
        </w:rPr>
        <w:t>万元，</w:t>
      </w:r>
      <w:bookmarkStart w:id="0" w:name="_Hlk182496542"/>
      <w:r>
        <w:rPr>
          <w:rFonts w:hint="eastAsia" w:ascii="仿宋" w:hAnsi="仿宋" w:eastAsia="仿宋" w:cs="仿宋"/>
          <w:color w:val="000000"/>
          <w:szCs w:val="32"/>
          <w:highlight w:val="none"/>
          <w:lang w:val="en-US" w:eastAsia="zh-CN"/>
        </w:rPr>
        <w:t>与上年对比无变化</w:t>
      </w:r>
      <w:r>
        <w:rPr>
          <w:rFonts w:hint="eastAsia" w:ascii="仿宋" w:hAnsi="仿宋" w:eastAsia="仿宋" w:cs="仿宋"/>
          <w:color w:val="000000"/>
          <w:szCs w:val="32"/>
          <w:highlight w:val="none"/>
        </w:rPr>
        <w:t>。</w:t>
      </w:r>
      <w:bookmarkEnd w:id="0"/>
    </w:p>
    <w:p>
      <w:pPr>
        <w:keepNext w:val="0"/>
        <w:keepLines w:val="0"/>
        <w:pageBreakBefore w:val="0"/>
        <w:widowControl w:val="0"/>
        <w:numPr>
          <w:ilvl w:val="0"/>
          <w:numId w:val="0"/>
        </w:numPr>
        <w:tabs>
          <w:tab w:val="center" w:pos="4475"/>
        </w:tabs>
        <w:kinsoku/>
        <w:wordWrap/>
        <w:overflowPunct/>
        <w:topLinePunct w:val="0"/>
        <w:autoSpaceDE/>
        <w:autoSpaceDN/>
        <w:bidi w:val="0"/>
        <w:adjustRightInd w:val="0"/>
        <w:snapToGrid/>
        <w:spacing w:line="560" w:lineRule="exact"/>
        <w:ind w:right="0" w:rightChars="0" w:firstLine="640" w:firstLineChars="200"/>
        <w:textAlignment w:val="auto"/>
        <w:outlineLvl w:val="1"/>
        <w:rPr>
          <w:rFonts w:hint="eastAsia" w:ascii="仿宋" w:hAnsi="仿宋" w:eastAsia="仿宋" w:cs="仿宋"/>
          <w:szCs w:val="32"/>
          <w:lang w:val="en-US" w:eastAsia="zh-CN"/>
        </w:rPr>
      </w:pPr>
      <w:r>
        <w:rPr>
          <w:rFonts w:hint="eastAsia" w:ascii="仿宋" w:hAnsi="仿宋" w:eastAsia="仿宋" w:cs="仿宋"/>
          <w:color w:val="000000"/>
          <w:szCs w:val="32"/>
          <w:highlight w:val="none"/>
          <w:lang w:eastAsia="zh-CN"/>
        </w:rPr>
        <w:t>（五）</w:t>
      </w:r>
      <w:r>
        <w:rPr>
          <w:rFonts w:hint="eastAsia" w:ascii="仿宋" w:hAnsi="仿宋" w:eastAsia="仿宋" w:cs="仿宋"/>
          <w:color w:val="000000"/>
          <w:szCs w:val="32"/>
          <w:highlight w:val="none"/>
        </w:rPr>
        <w:t>上年结余结转</w:t>
      </w:r>
      <w:r>
        <w:rPr>
          <w:rFonts w:hint="eastAsia" w:ascii="仿宋" w:hAnsi="仿宋" w:eastAsia="仿宋" w:cs="仿宋"/>
          <w:color w:val="000000"/>
          <w:szCs w:val="32"/>
          <w:lang w:val="en-US" w:eastAsia="zh-CN"/>
        </w:rPr>
        <w:t>0</w:t>
      </w:r>
      <w:r>
        <w:rPr>
          <w:rFonts w:hint="eastAsia" w:ascii="仿宋" w:hAnsi="仿宋" w:eastAsia="仿宋" w:cs="仿宋"/>
          <w:color w:val="000000"/>
          <w:szCs w:val="32"/>
        </w:rPr>
        <w:t>万元，</w:t>
      </w:r>
      <w:r>
        <w:rPr>
          <w:rFonts w:hint="eastAsia" w:ascii="仿宋" w:hAnsi="仿宋" w:eastAsia="仿宋" w:cs="仿宋"/>
          <w:color w:val="000000"/>
          <w:szCs w:val="32"/>
          <w:highlight w:val="none"/>
          <w:lang w:val="en-US" w:eastAsia="zh-CN"/>
        </w:rPr>
        <w:t>与上年对比无变化</w:t>
      </w:r>
      <w:r>
        <w:rPr>
          <w:rFonts w:hint="eastAsia" w:ascii="仿宋" w:hAnsi="仿宋" w:eastAsia="仿宋" w:cs="仿宋"/>
          <w:color w:val="000000"/>
          <w:szCs w:val="32"/>
          <w:lang w:val="en-US" w:eastAsia="zh-CN"/>
        </w:rPr>
        <w:t xml:space="preserve">。 </w:t>
      </w:r>
    </w:p>
    <w:p>
      <w:pPr>
        <w:tabs>
          <w:tab w:val="center" w:pos="4475"/>
        </w:tabs>
        <w:spacing w:line="560" w:lineRule="exact"/>
        <w:ind w:firstLine="645"/>
        <w:outlineLvl w:val="1"/>
        <w:rPr>
          <w:rFonts w:hint="eastAsia" w:ascii="黑体" w:eastAsia="黑体"/>
          <w:szCs w:val="32"/>
        </w:rPr>
      </w:pPr>
      <w:r>
        <w:rPr>
          <w:rFonts w:hint="eastAsia" w:ascii="Arial" w:hAnsi="Arial" w:eastAsia="黑体" w:cs="Times New Roman"/>
          <w:b/>
          <w:szCs w:val="24"/>
        </w:rPr>
        <w:t>三、单位预算支出总体情况说明</w:t>
      </w:r>
    </w:p>
    <w:p>
      <w:pPr>
        <w:numPr>
          <w:ilvl w:val="0"/>
          <w:numId w:val="0"/>
        </w:numPr>
        <w:tabs>
          <w:tab w:val="center" w:pos="4475"/>
        </w:tabs>
        <w:spacing w:line="560" w:lineRule="exact"/>
        <w:ind w:firstLine="640" w:firstLineChars="200"/>
        <w:outlineLvl w:val="9"/>
        <w:rPr>
          <w:rFonts w:hint="eastAsia" w:ascii="黑体" w:eastAsia="黑体"/>
          <w:szCs w:val="32"/>
        </w:rPr>
      </w:pPr>
      <w:r>
        <w:rPr>
          <w:rFonts w:hint="eastAsia" w:ascii="仿宋" w:hAnsi="仿宋" w:eastAsia="仿宋" w:cs="仿宋"/>
          <w:szCs w:val="32"/>
          <w:lang w:eastAsia="zh-CN"/>
        </w:rPr>
        <w:t>自治区资源公路养护中心2026年总支出2,148万元，同比增加211.01万元，增长10.89%。主要原因是</w:t>
      </w:r>
      <w:r>
        <w:rPr>
          <w:rFonts w:hint="eastAsia" w:ascii="仿宋" w:hAnsi="仿宋" w:eastAsia="仿宋" w:cs="仿宋"/>
          <w:color w:val="000000"/>
          <w:szCs w:val="32"/>
          <w:lang w:eastAsia="zh-CN"/>
        </w:rPr>
        <w:t>有人员退休，基本支出减少；2026年成品油价格和税费改革中央转移支付增长性资金较2025年增加，项目支出增长。</w:t>
      </w:r>
    </w:p>
    <w:p>
      <w:pPr>
        <w:tabs>
          <w:tab w:val="center" w:pos="4475"/>
        </w:tabs>
        <w:spacing w:line="560" w:lineRule="exact"/>
        <w:ind w:firstLine="645"/>
        <w:outlineLvl w:val="1"/>
        <w:rPr>
          <w:rFonts w:hint="eastAsia" w:ascii="黑体" w:eastAsia="黑体"/>
          <w:szCs w:val="32"/>
        </w:rPr>
      </w:pPr>
      <w:r>
        <w:rPr>
          <w:rFonts w:hint="eastAsia" w:ascii="黑体" w:eastAsia="黑体"/>
          <w:szCs w:val="32"/>
        </w:rPr>
        <w:t>四、政府性基金预算支出情况说明</w:t>
      </w:r>
    </w:p>
    <w:p>
      <w:pPr>
        <w:adjustRightInd w:val="0"/>
        <w:snapToGrid w:val="0"/>
        <w:spacing w:line="560" w:lineRule="exact"/>
        <w:ind w:right="-333" w:rightChars="-104" w:firstLine="640" w:firstLineChars="200"/>
        <w:rPr>
          <w:rFonts w:hint="eastAsia" w:ascii="仿宋" w:hAnsi="仿宋" w:eastAsia="仿宋" w:cs="仿宋"/>
          <w:szCs w:val="32"/>
        </w:rPr>
      </w:pPr>
      <w:r>
        <w:rPr>
          <w:rFonts w:hint="eastAsia" w:ascii="仿宋" w:hAnsi="仿宋" w:eastAsia="仿宋" w:cs="仿宋"/>
          <w:szCs w:val="32"/>
          <w:lang w:eastAsia="zh-CN"/>
        </w:rPr>
        <w:t>自治区资源公路养护中心</w:t>
      </w:r>
      <w:r>
        <w:rPr>
          <w:rFonts w:hint="eastAsia" w:ascii="仿宋" w:hAnsi="仿宋" w:eastAsia="仿宋" w:cs="仿宋"/>
          <w:szCs w:val="32"/>
        </w:rPr>
        <w:t>202</w:t>
      </w:r>
      <w:r>
        <w:rPr>
          <w:rFonts w:hint="eastAsia" w:ascii="仿宋" w:hAnsi="仿宋" w:eastAsia="仿宋" w:cs="仿宋"/>
          <w:szCs w:val="32"/>
          <w:lang w:val="en-US" w:eastAsia="zh-CN"/>
        </w:rPr>
        <w:t>6</w:t>
      </w:r>
      <w:r>
        <w:rPr>
          <w:rFonts w:hint="eastAsia" w:ascii="仿宋" w:hAnsi="仿宋" w:eastAsia="仿宋" w:cs="仿宋"/>
          <w:szCs w:val="32"/>
        </w:rPr>
        <w:t>年无政府性基金预算</w:t>
      </w:r>
      <w:r>
        <w:rPr>
          <w:rFonts w:hint="eastAsia" w:ascii="仿宋" w:hAnsi="仿宋" w:eastAsia="仿宋" w:cs="仿宋"/>
          <w:szCs w:val="32"/>
          <w:lang w:eastAsia="zh-CN"/>
        </w:rPr>
        <w:t>。</w:t>
      </w:r>
    </w:p>
    <w:p>
      <w:pPr>
        <w:tabs>
          <w:tab w:val="center" w:pos="4475"/>
        </w:tabs>
        <w:spacing w:line="560" w:lineRule="exact"/>
        <w:ind w:firstLine="645"/>
        <w:outlineLvl w:val="1"/>
        <w:rPr>
          <w:rFonts w:hint="eastAsia" w:ascii="黑体" w:eastAsia="黑体"/>
          <w:szCs w:val="32"/>
          <w:highlight w:val="yellow"/>
        </w:rPr>
      </w:pPr>
      <w:r>
        <w:rPr>
          <w:rFonts w:hint="eastAsia" w:ascii="黑体" w:eastAsia="黑体"/>
          <w:szCs w:val="32"/>
          <w:lang w:eastAsia="zh-CN"/>
        </w:rPr>
        <w:t>五</w:t>
      </w:r>
      <w:r>
        <w:rPr>
          <w:rFonts w:hint="eastAsia" w:ascii="黑体" w:eastAsia="黑体"/>
          <w:szCs w:val="32"/>
        </w:rPr>
        <w:t>、国有资本经营预算支出情况说明</w:t>
      </w:r>
    </w:p>
    <w:p>
      <w:pPr>
        <w:adjustRightInd w:val="0"/>
        <w:snapToGrid w:val="0"/>
        <w:spacing w:beforeLines="0" w:afterLines="0" w:line="560" w:lineRule="exact"/>
        <w:ind w:right="0" w:rightChars="0" w:firstLine="640" w:firstLineChars="200"/>
        <w:rPr>
          <w:rFonts w:hint="eastAsia" w:ascii="仿宋" w:hAnsi="仿宋" w:eastAsia="仿宋" w:cs="仿宋"/>
          <w:szCs w:val="32"/>
          <w:u w:val="none"/>
        </w:rPr>
      </w:pPr>
      <w:r>
        <w:rPr>
          <w:rFonts w:hint="eastAsia" w:ascii="仿宋" w:hAnsi="仿宋" w:eastAsia="仿宋" w:cs="仿宋"/>
          <w:szCs w:val="32"/>
          <w:lang w:eastAsia="zh-CN"/>
        </w:rPr>
        <w:t>自治区资源公路养护中心</w:t>
      </w:r>
      <w:r>
        <w:rPr>
          <w:rFonts w:hint="eastAsia" w:ascii="仿宋" w:hAnsi="仿宋" w:eastAsia="仿宋" w:cs="仿宋"/>
          <w:szCs w:val="32"/>
          <w:u w:val="none"/>
          <w:lang w:val="en-US" w:eastAsia="zh-CN"/>
        </w:rPr>
        <w:t>2026年预算无国有资本经营预算</w:t>
      </w:r>
      <w:r>
        <w:rPr>
          <w:rFonts w:hint="eastAsia" w:ascii="仿宋" w:hAnsi="仿宋" w:eastAsia="仿宋" w:cs="仿宋"/>
          <w:szCs w:val="32"/>
        </w:rPr>
        <w:t>。</w:t>
      </w:r>
    </w:p>
    <w:p>
      <w:pPr>
        <w:pStyle w:val="3"/>
        <w:adjustRightInd w:val="0"/>
        <w:snapToGrid w:val="0"/>
        <w:spacing w:before="0" w:after="0" w:line="560" w:lineRule="exact"/>
        <w:ind w:firstLine="642" w:firstLineChars="200"/>
        <w:outlineLvl w:val="1"/>
        <w:rPr>
          <w:rFonts w:hint="eastAsia"/>
        </w:rPr>
      </w:pPr>
      <w:r>
        <w:rPr>
          <w:rFonts w:hint="eastAsia"/>
          <w:lang w:eastAsia="zh-CN"/>
        </w:rPr>
        <w:t>六</w:t>
      </w:r>
      <w:r>
        <w:rPr>
          <w:rFonts w:hint="eastAsia"/>
        </w:rPr>
        <w:t>、一般公共预算“三公”经费支出情况说明</w:t>
      </w:r>
    </w:p>
    <w:p>
      <w:pPr>
        <w:adjustRightInd w:val="0"/>
        <w:snapToGrid w:val="0"/>
        <w:spacing w:beforeLines="0" w:afterLines="0" w:line="560" w:lineRule="exact"/>
        <w:ind w:right="0" w:rightChars="0" w:firstLine="640" w:firstLineChars="200"/>
        <w:rPr>
          <w:rFonts w:hint="eastAsia" w:ascii="仿宋" w:hAnsi="仿宋" w:eastAsia="仿宋" w:cs="仿宋"/>
          <w:szCs w:val="32"/>
        </w:rPr>
      </w:pPr>
      <w:r>
        <w:rPr>
          <w:rFonts w:hint="eastAsia" w:ascii="仿宋" w:hAnsi="仿宋" w:eastAsia="仿宋" w:cs="仿宋"/>
          <w:szCs w:val="32"/>
          <w:lang w:eastAsia="zh-CN"/>
        </w:rPr>
        <w:t>自治区资源公路养护中心“三公”经费合计</w:t>
      </w:r>
      <w:r>
        <w:rPr>
          <w:rFonts w:hint="eastAsia" w:ascii="仿宋" w:hAnsi="仿宋" w:eastAsia="仿宋" w:cs="仿宋"/>
          <w:szCs w:val="32"/>
          <w:lang w:val="en-US" w:eastAsia="zh-CN"/>
        </w:rPr>
        <w:t>16.73</w:t>
      </w:r>
      <w:r>
        <w:rPr>
          <w:rFonts w:hint="eastAsia" w:ascii="仿宋" w:hAnsi="仿宋" w:eastAsia="仿宋" w:cs="仿宋"/>
          <w:szCs w:val="32"/>
          <w:lang w:eastAsia="zh-CN"/>
        </w:rPr>
        <w:t>万元，同比减少</w:t>
      </w:r>
      <w:r>
        <w:rPr>
          <w:rFonts w:hint="eastAsia" w:ascii="仿宋" w:hAnsi="仿宋" w:eastAsia="仿宋" w:cs="仿宋"/>
          <w:szCs w:val="32"/>
          <w:lang w:val="en-US" w:eastAsia="zh-CN"/>
        </w:rPr>
        <w:t>0.79</w:t>
      </w:r>
      <w:r>
        <w:rPr>
          <w:rFonts w:hint="eastAsia" w:ascii="仿宋" w:hAnsi="仿宋" w:eastAsia="仿宋" w:cs="仿宋"/>
          <w:szCs w:val="32"/>
          <w:lang w:eastAsia="zh-CN"/>
        </w:rPr>
        <w:t>万元，下降4.</w:t>
      </w:r>
      <w:r>
        <w:rPr>
          <w:rFonts w:hint="eastAsia" w:ascii="仿宋" w:hAnsi="仿宋" w:eastAsia="仿宋" w:cs="仿宋"/>
          <w:szCs w:val="32"/>
          <w:lang w:val="en-US" w:eastAsia="zh-CN"/>
        </w:rPr>
        <w:t>51</w:t>
      </w:r>
      <w:r>
        <w:rPr>
          <w:rFonts w:hint="eastAsia" w:ascii="仿宋" w:hAnsi="仿宋" w:eastAsia="仿宋" w:cs="仿宋"/>
          <w:szCs w:val="32"/>
          <w:lang w:eastAsia="zh-CN"/>
        </w:rPr>
        <w:t>%。其中：</w:t>
      </w:r>
    </w:p>
    <w:p>
      <w:pPr>
        <w:keepNext w:val="0"/>
        <w:keepLines w:val="0"/>
        <w:pageBreakBefore w:val="0"/>
        <w:widowControl w:val="0"/>
        <w:kinsoku/>
        <w:wordWrap/>
        <w:overflowPunct/>
        <w:topLinePunct w:val="0"/>
        <w:autoSpaceDE/>
        <w:autoSpaceDN/>
        <w:bidi w:val="0"/>
        <w:adjustRightInd w:val="0"/>
        <w:snapToGrid w:val="0"/>
        <w:spacing w:beforeLines="0" w:afterLines="0" w:line="560" w:lineRule="exact"/>
        <w:ind w:right="0" w:rightChars="0" w:firstLine="640" w:firstLineChars="200"/>
        <w:textAlignment w:val="auto"/>
        <w:outlineLvl w:val="1"/>
        <w:rPr>
          <w:rFonts w:hint="eastAsia" w:ascii="仿宋" w:hAnsi="仿宋" w:eastAsia="仿宋" w:cs="仿宋"/>
          <w:szCs w:val="32"/>
          <w:lang w:eastAsia="zh-CN"/>
        </w:rPr>
      </w:pPr>
      <w:r>
        <w:rPr>
          <w:rFonts w:hint="eastAsia" w:ascii="仿宋" w:hAnsi="仿宋" w:eastAsia="仿宋" w:cs="仿宋"/>
          <w:szCs w:val="32"/>
          <w:lang w:eastAsia="zh-CN"/>
        </w:rPr>
        <w:t>（一）因公出国（境）费202</w:t>
      </w:r>
      <w:r>
        <w:rPr>
          <w:rFonts w:hint="eastAsia" w:ascii="仿宋" w:hAnsi="仿宋" w:eastAsia="仿宋" w:cs="仿宋"/>
          <w:szCs w:val="32"/>
          <w:lang w:val="en-US" w:eastAsia="zh-CN"/>
        </w:rPr>
        <w:t>6</w:t>
      </w:r>
      <w:r>
        <w:rPr>
          <w:rFonts w:hint="eastAsia" w:ascii="仿宋" w:hAnsi="仿宋" w:eastAsia="仿宋" w:cs="仿宋"/>
          <w:szCs w:val="32"/>
          <w:lang w:eastAsia="zh-CN"/>
        </w:rPr>
        <w:t>年预算安排</w:t>
      </w:r>
      <w:r>
        <w:rPr>
          <w:rFonts w:hint="eastAsia" w:ascii="仿宋" w:hAnsi="仿宋" w:eastAsia="仿宋" w:cs="仿宋"/>
          <w:szCs w:val="32"/>
          <w:lang w:val="en-US" w:eastAsia="zh-CN"/>
        </w:rPr>
        <w:t>0</w:t>
      </w:r>
      <w:r>
        <w:rPr>
          <w:rFonts w:hint="eastAsia" w:ascii="仿宋" w:hAnsi="仿宋" w:eastAsia="仿宋" w:cs="仿宋"/>
          <w:szCs w:val="32"/>
          <w:lang w:eastAsia="zh-CN"/>
        </w:rPr>
        <w:t>万元，</w:t>
      </w:r>
      <w:r>
        <w:rPr>
          <w:rFonts w:hint="eastAsia" w:ascii="仿宋" w:hAnsi="仿宋" w:eastAsia="仿宋" w:cs="仿宋"/>
          <w:szCs w:val="32"/>
          <w:lang w:val="en-US" w:eastAsia="zh-CN"/>
        </w:rPr>
        <w:t>与上年持平</w:t>
      </w:r>
      <w:r>
        <w:rPr>
          <w:rFonts w:hint="eastAsia" w:ascii="仿宋" w:hAnsi="仿宋" w:eastAsia="仿宋" w:cs="仿宋"/>
          <w:szCs w:val="32"/>
          <w:lang w:eastAsia="zh-CN"/>
        </w:rPr>
        <w:t>。</w:t>
      </w:r>
    </w:p>
    <w:p>
      <w:pPr>
        <w:keepNext w:val="0"/>
        <w:keepLines w:val="0"/>
        <w:pageBreakBefore w:val="0"/>
        <w:widowControl w:val="0"/>
        <w:kinsoku/>
        <w:wordWrap/>
        <w:overflowPunct/>
        <w:topLinePunct w:val="0"/>
        <w:autoSpaceDE/>
        <w:autoSpaceDN/>
        <w:bidi w:val="0"/>
        <w:adjustRightInd w:val="0"/>
        <w:snapToGrid w:val="0"/>
        <w:spacing w:beforeLines="0" w:afterLines="0" w:line="560" w:lineRule="exact"/>
        <w:ind w:right="0" w:rightChars="0" w:firstLine="640" w:firstLineChars="200"/>
        <w:textAlignment w:val="auto"/>
        <w:outlineLvl w:val="1"/>
        <w:rPr>
          <w:rFonts w:hint="eastAsia" w:ascii="仿宋" w:hAnsi="仿宋" w:eastAsia="仿宋" w:cs="仿宋"/>
          <w:szCs w:val="32"/>
          <w:lang w:eastAsia="zh-CN"/>
        </w:rPr>
      </w:pPr>
      <w:r>
        <w:rPr>
          <w:rFonts w:hint="eastAsia" w:ascii="仿宋" w:hAnsi="仿宋" w:eastAsia="仿宋" w:cs="仿宋"/>
          <w:szCs w:val="32"/>
          <w:lang w:eastAsia="zh-CN"/>
        </w:rPr>
        <w:t>（二）公务用车购置及运行费202</w:t>
      </w:r>
      <w:r>
        <w:rPr>
          <w:rFonts w:hint="eastAsia" w:ascii="仿宋" w:hAnsi="仿宋" w:eastAsia="仿宋" w:cs="仿宋"/>
          <w:szCs w:val="32"/>
          <w:lang w:val="en-US" w:eastAsia="zh-CN"/>
        </w:rPr>
        <w:t>6</w:t>
      </w:r>
      <w:r>
        <w:rPr>
          <w:rFonts w:hint="eastAsia" w:ascii="仿宋" w:hAnsi="仿宋" w:eastAsia="仿宋" w:cs="仿宋"/>
          <w:szCs w:val="32"/>
          <w:lang w:eastAsia="zh-CN"/>
        </w:rPr>
        <w:t>年预算安排15.85万元，与上年持平。其中：</w:t>
      </w:r>
    </w:p>
    <w:p>
      <w:pPr>
        <w:adjustRightInd w:val="0"/>
        <w:snapToGrid w:val="0"/>
        <w:spacing w:beforeLines="0" w:afterLines="0" w:line="560" w:lineRule="exact"/>
        <w:ind w:right="0" w:rightChars="0" w:firstLine="640" w:firstLineChars="200"/>
        <w:rPr>
          <w:rFonts w:hint="eastAsia" w:ascii="仿宋" w:hAnsi="仿宋" w:eastAsia="仿宋" w:cs="仿宋"/>
          <w:szCs w:val="32"/>
          <w:lang w:eastAsia="zh-CN"/>
        </w:rPr>
      </w:pPr>
      <w:r>
        <w:rPr>
          <w:rFonts w:hint="eastAsia" w:ascii="仿宋" w:hAnsi="仿宋" w:eastAsia="仿宋" w:cs="仿宋"/>
          <w:szCs w:val="32"/>
          <w:lang w:eastAsia="zh-CN"/>
        </w:rPr>
        <w:t>公务用车购置费202</w:t>
      </w:r>
      <w:r>
        <w:rPr>
          <w:rFonts w:hint="eastAsia" w:ascii="仿宋" w:hAnsi="仿宋" w:eastAsia="仿宋" w:cs="仿宋"/>
          <w:szCs w:val="32"/>
          <w:lang w:val="en-US" w:eastAsia="zh-CN"/>
        </w:rPr>
        <w:t>6</w:t>
      </w:r>
      <w:r>
        <w:rPr>
          <w:rFonts w:hint="eastAsia" w:ascii="仿宋" w:hAnsi="仿宋" w:eastAsia="仿宋" w:cs="仿宋"/>
          <w:szCs w:val="32"/>
          <w:lang w:eastAsia="zh-CN"/>
        </w:rPr>
        <w:t>年预算安排</w:t>
      </w:r>
      <w:r>
        <w:rPr>
          <w:rFonts w:hint="eastAsia" w:ascii="仿宋" w:hAnsi="仿宋" w:eastAsia="仿宋" w:cs="仿宋"/>
          <w:szCs w:val="32"/>
          <w:lang w:val="en-US" w:eastAsia="zh-CN"/>
        </w:rPr>
        <w:t>0</w:t>
      </w:r>
      <w:r>
        <w:rPr>
          <w:rFonts w:hint="eastAsia" w:ascii="仿宋" w:hAnsi="仿宋" w:eastAsia="仿宋" w:cs="仿宋"/>
          <w:szCs w:val="32"/>
          <w:lang w:eastAsia="zh-CN"/>
        </w:rPr>
        <w:t>万元，</w:t>
      </w:r>
      <w:r>
        <w:rPr>
          <w:rFonts w:hint="eastAsia" w:ascii="仿宋" w:hAnsi="仿宋" w:eastAsia="仿宋" w:cs="仿宋"/>
          <w:szCs w:val="32"/>
          <w:lang w:val="en-US" w:eastAsia="zh-CN"/>
        </w:rPr>
        <w:t>与</w:t>
      </w:r>
      <w:r>
        <w:rPr>
          <w:rFonts w:hint="eastAsia" w:ascii="仿宋" w:hAnsi="仿宋" w:eastAsia="仿宋" w:cs="仿宋"/>
          <w:szCs w:val="32"/>
          <w:lang w:eastAsia="zh-CN"/>
        </w:rPr>
        <w:t>上年</w:t>
      </w:r>
      <w:r>
        <w:rPr>
          <w:rFonts w:hint="eastAsia" w:ascii="仿宋" w:hAnsi="仿宋" w:eastAsia="仿宋" w:cs="仿宋"/>
          <w:szCs w:val="32"/>
          <w:lang w:val="en-US" w:eastAsia="zh-CN"/>
        </w:rPr>
        <w:t>持平</w:t>
      </w:r>
      <w:r>
        <w:rPr>
          <w:rFonts w:hint="eastAsia" w:ascii="仿宋" w:hAnsi="仿宋" w:eastAsia="仿宋" w:cs="仿宋"/>
          <w:szCs w:val="32"/>
          <w:lang w:eastAsia="zh-CN"/>
        </w:rPr>
        <w:t>；</w:t>
      </w:r>
    </w:p>
    <w:p>
      <w:pPr>
        <w:keepNext w:val="0"/>
        <w:keepLines w:val="0"/>
        <w:pageBreakBefore w:val="0"/>
        <w:widowControl w:val="0"/>
        <w:kinsoku/>
        <w:wordWrap/>
        <w:overflowPunct/>
        <w:topLinePunct w:val="0"/>
        <w:autoSpaceDE/>
        <w:autoSpaceDN/>
        <w:bidi w:val="0"/>
        <w:adjustRightInd w:val="0"/>
        <w:snapToGrid w:val="0"/>
        <w:spacing w:beforeLines="0" w:afterLines="0" w:line="560" w:lineRule="exact"/>
        <w:ind w:right="0" w:rightChars="0" w:firstLine="640" w:firstLineChars="200"/>
        <w:textAlignment w:val="auto"/>
        <w:outlineLvl w:val="1"/>
        <w:rPr>
          <w:rFonts w:hint="eastAsia" w:ascii="仿宋" w:hAnsi="仿宋" w:eastAsia="仿宋" w:cs="仿宋"/>
          <w:szCs w:val="32"/>
          <w:lang w:eastAsia="zh-CN"/>
        </w:rPr>
      </w:pPr>
      <w:r>
        <w:rPr>
          <w:rFonts w:hint="eastAsia" w:ascii="仿宋" w:hAnsi="仿宋" w:eastAsia="仿宋" w:cs="仿宋"/>
          <w:szCs w:val="32"/>
          <w:lang w:eastAsia="zh-CN"/>
        </w:rPr>
        <w:t>（三）公务接待费202</w:t>
      </w:r>
      <w:r>
        <w:rPr>
          <w:rFonts w:hint="eastAsia" w:ascii="仿宋" w:hAnsi="仿宋" w:eastAsia="仿宋" w:cs="仿宋"/>
          <w:szCs w:val="32"/>
          <w:lang w:val="en-US" w:eastAsia="zh-CN"/>
        </w:rPr>
        <w:t>6</w:t>
      </w:r>
      <w:r>
        <w:rPr>
          <w:rFonts w:hint="eastAsia" w:ascii="仿宋" w:hAnsi="仿宋" w:eastAsia="仿宋" w:cs="仿宋"/>
          <w:szCs w:val="32"/>
          <w:lang w:eastAsia="zh-CN"/>
        </w:rPr>
        <w:t>年预算安排</w:t>
      </w:r>
      <w:r>
        <w:rPr>
          <w:rFonts w:hint="eastAsia" w:ascii="仿宋" w:hAnsi="仿宋" w:eastAsia="仿宋" w:cs="仿宋"/>
          <w:szCs w:val="32"/>
          <w:lang w:val="en-US" w:eastAsia="zh-CN"/>
        </w:rPr>
        <w:t>0.88</w:t>
      </w:r>
      <w:r>
        <w:rPr>
          <w:rFonts w:hint="eastAsia" w:ascii="仿宋" w:hAnsi="仿宋" w:eastAsia="仿宋" w:cs="仿宋"/>
          <w:szCs w:val="32"/>
          <w:lang w:eastAsia="zh-CN"/>
        </w:rPr>
        <w:t>万元，比上年减少</w:t>
      </w:r>
      <w:r>
        <w:rPr>
          <w:rFonts w:hint="eastAsia" w:ascii="仿宋" w:hAnsi="仿宋" w:eastAsia="仿宋" w:cs="仿宋"/>
          <w:szCs w:val="32"/>
          <w:lang w:val="en-US" w:eastAsia="zh-CN"/>
        </w:rPr>
        <w:t>0.79</w:t>
      </w:r>
      <w:r>
        <w:rPr>
          <w:rFonts w:hint="eastAsia" w:ascii="仿宋" w:hAnsi="仿宋" w:eastAsia="仿宋" w:cs="仿宋"/>
          <w:szCs w:val="32"/>
          <w:lang w:eastAsia="zh-CN"/>
        </w:rPr>
        <w:t>万元，下降47.31%，减少的主要原因是按照《广西壮族自治区财政厅关于进一步加强自治区本级2026年部门预算编制审核的通知》（桂财预〔2025〕120号）要求，压减公务接待费预算。</w:t>
      </w:r>
    </w:p>
    <w:p>
      <w:pPr>
        <w:pStyle w:val="3"/>
        <w:spacing w:before="0" w:after="0" w:line="560" w:lineRule="exact"/>
        <w:ind w:firstLine="642" w:firstLineChars="200"/>
        <w:outlineLvl w:val="1"/>
        <w:rPr>
          <w:rFonts w:hint="eastAsia" w:ascii="Arial" w:hAnsi="Arial" w:eastAsia="黑体" w:cs="Times New Roman"/>
          <w:szCs w:val="24"/>
        </w:rPr>
      </w:pPr>
      <w:r>
        <w:rPr>
          <w:rFonts w:hint="eastAsia" w:ascii="Arial" w:hAnsi="Arial" w:eastAsia="黑体" w:cs="Times New Roman"/>
          <w:szCs w:val="24"/>
          <w:lang w:eastAsia="zh-CN"/>
        </w:rPr>
        <w:t>七、</w:t>
      </w:r>
      <w:r>
        <w:rPr>
          <w:rFonts w:hint="eastAsia" w:ascii="Arial" w:hAnsi="Arial" w:eastAsia="黑体" w:cs="Times New Roman"/>
          <w:szCs w:val="24"/>
        </w:rPr>
        <w:t>事业单位相关运行经费安排情况说明</w:t>
      </w:r>
    </w:p>
    <w:p>
      <w:pPr>
        <w:adjustRightInd w:val="0"/>
        <w:snapToGrid w:val="0"/>
        <w:spacing w:beforeLines="0" w:afterLines="0" w:line="560" w:lineRule="exact"/>
        <w:ind w:right="-333" w:rightChars="-104" w:firstLine="640" w:firstLineChars="200"/>
        <w:rPr>
          <w:rFonts w:hint="eastAsia" w:ascii="仿宋" w:hAnsi="仿宋" w:eastAsia="仿宋" w:cs="仿宋"/>
          <w:szCs w:val="32"/>
          <w:u w:val="none"/>
          <w:lang w:val="en-US" w:eastAsia="zh-CN"/>
        </w:rPr>
      </w:pPr>
      <w:r>
        <w:rPr>
          <w:rFonts w:hint="eastAsia" w:ascii="仿宋" w:hAnsi="仿宋" w:eastAsia="仿宋" w:cs="仿宋"/>
          <w:szCs w:val="32"/>
          <w:u w:val="none"/>
          <w:lang w:val="en-US" w:eastAsia="zh-CN"/>
        </w:rPr>
        <w:t>无。</w:t>
      </w:r>
    </w:p>
    <w:p>
      <w:pPr>
        <w:pStyle w:val="3"/>
        <w:spacing w:before="0" w:after="0" w:line="560" w:lineRule="exact"/>
        <w:ind w:firstLine="642" w:firstLineChars="200"/>
        <w:outlineLvl w:val="1"/>
        <w:rPr>
          <w:rFonts w:hint="eastAsia" w:ascii="Arial" w:hAnsi="Arial" w:eastAsia="黑体" w:cs="Times New Roman"/>
          <w:kern w:val="2"/>
          <w:szCs w:val="24"/>
        </w:rPr>
      </w:pPr>
      <w:r>
        <w:rPr>
          <w:rFonts w:hint="eastAsia" w:ascii="Arial" w:hAnsi="Arial" w:eastAsia="黑体" w:cs="Times New Roman"/>
          <w:szCs w:val="24"/>
          <w:lang w:eastAsia="zh-CN"/>
        </w:rPr>
        <w:t>八、</w:t>
      </w:r>
      <w:r>
        <w:rPr>
          <w:rFonts w:hint="eastAsia" w:ascii="Arial" w:hAnsi="Arial" w:eastAsia="黑体" w:cs="Times New Roman"/>
          <w:kern w:val="2"/>
          <w:szCs w:val="24"/>
        </w:rPr>
        <w:t>政府采购预算安排情况说明</w:t>
      </w:r>
    </w:p>
    <w:p>
      <w:pPr>
        <w:adjustRightInd/>
        <w:snapToGrid/>
        <w:spacing w:line="560" w:lineRule="exact"/>
        <w:ind w:right="0" w:rightChars="0" w:firstLine="640" w:firstLineChars="0"/>
        <w:rPr>
          <w:rFonts w:hint="eastAsia" w:ascii="仿宋" w:hAnsi="仿宋" w:eastAsia="仿宋" w:cs="仿宋"/>
          <w:kern w:val="2"/>
          <w:szCs w:val="32"/>
        </w:rPr>
      </w:pPr>
      <w:r>
        <w:rPr>
          <w:rFonts w:hint="eastAsia" w:ascii="仿宋" w:hAnsi="仿宋" w:eastAsia="仿宋" w:cs="仿宋"/>
          <w:szCs w:val="32"/>
          <w:lang w:eastAsia="zh-CN"/>
        </w:rPr>
        <w:t>无</w:t>
      </w:r>
      <w:r>
        <w:rPr>
          <w:rFonts w:hint="eastAsia" w:ascii="仿宋" w:hAnsi="仿宋" w:eastAsia="仿宋" w:cs="仿宋"/>
          <w:szCs w:val="32"/>
        </w:rPr>
        <w:t>。</w:t>
      </w:r>
    </w:p>
    <w:p>
      <w:pPr>
        <w:adjustRightInd w:val="0"/>
        <w:snapToGrid w:val="0"/>
        <w:spacing w:line="560" w:lineRule="exact"/>
        <w:ind w:right="-333" w:rightChars="-104" w:firstLine="642" w:firstLineChars="200"/>
        <w:outlineLvl w:val="1"/>
        <w:rPr>
          <w:rFonts w:hint="eastAsia" w:ascii="仿宋" w:hAnsi="仿宋" w:eastAsia="仿宋" w:cs="仿宋"/>
          <w:kern w:val="2"/>
          <w:szCs w:val="32"/>
        </w:rPr>
      </w:pPr>
      <w:r>
        <w:rPr>
          <w:rFonts w:hint="eastAsia" w:ascii="Arial" w:hAnsi="Arial" w:eastAsia="黑体" w:cs="Times New Roman"/>
          <w:b/>
          <w:kern w:val="2"/>
          <w:szCs w:val="24"/>
          <w:lang w:eastAsia="zh-CN"/>
        </w:rPr>
        <w:t>九、</w:t>
      </w:r>
      <w:r>
        <w:rPr>
          <w:rFonts w:hint="eastAsia" w:ascii="Arial" w:hAnsi="Arial" w:eastAsia="黑体" w:cs="Times New Roman"/>
          <w:b/>
          <w:kern w:val="2"/>
          <w:szCs w:val="24"/>
        </w:rPr>
        <w:t>国有资产占用情况说明</w:t>
      </w:r>
    </w:p>
    <w:p>
      <w:pPr>
        <w:spacing w:line="560" w:lineRule="exact"/>
        <w:ind w:firstLine="640"/>
        <w:rPr>
          <w:rFonts w:hint="eastAsia" w:ascii="仿宋" w:hAnsi="仿宋" w:eastAsia="仿宋" w:cs="仿宋"/>
          <w:szCs w:val="32"/>
          <w:u w:val="none"/>
          <w:lang w:eastAsia="zh-CN"/>
        </w:rPr>
      </w:pPr>
      <w:r>
        <w:rPr>
          <w:rFonts w:hint="eastAsia" w:ascii="仿宋" w:hAnsi="仿宋" w:eastAsia="仿宋" w:cs="仿宋"/>
          <w:szCs w:val="32"/>
          <w:u w:val="none"/>
          <w:lang w:eastAsia="zh-CN"/>
        </w:rPr>
        <w:t>自治区资源公路养护中心2026年纳入事业单位房屋账面面积12,992.7平方米，其中办公用房面积4,985.03平方米，占房屋的38.37%；业务用房面积7491.37平方米，占57.66%；其他用房面积516.3平方米，占3.97%。从使用状况分析：在用10,996.67平方米，占84.64%，出租出借1,996.03平方米，占15.36%，待处置0平方米，占0%。</w:t>
      </w:r>
    </w:p>
    <w:p>
      <w:pPr>
        <w:adjustRightInd w:val="0"/>
        <w:snapToGrid w:val="0"/>
        <w:spacing w:line="560" w:lineRule="exact"/>
        <w:ind w:right="-333" w:rightChars="-104" w:firstLine="640" w:firstLineChars="200"/>
        <w:outlineLvl w:val="9"/>
        <w:rPr>
          <w:rFonts w:hint="eastAsia" w:ascii="Arial" w:hAnsi="Arial" w:eastAsia="黑体" w:cs="Times New Roman"/>
          <w:b/>
          <w:szCs w:val="24"/>
          <w:lang w:eastAsia="zh-CN"/>
        </w:rPr>
      </w:pPr>
      <w:r>
        <w:rPr>
          <w:rFonts w:hint="eastAsia" w:ascii="仿宋" w:hAnsi="仿宋" w:eastAsia="仿宋" w:cs="仿宋"/>
          <w:szCs w:val="32"/>
          <w:u w:val="none"/>
          <w:lang w:eastAsia="zh-CN"/>
        </w:rPr>
        <w:t>纳入2026年自治区资源公路养护中心部门预算车辆编制27辆，其中：公务车编制6辆、养护车编制21辆。实有车辆25辆，其中：轿车（公务）0辆、经济型车（公务）0辆、旅行越野车（公务）5辆、养护车20辆。</w:t>
      </w:r>
    </w:p>
    <w:p>
      <w:pPr>
        <w:adjustRightInd w:val="0"/>
        <w:snapToGrid w:val="0"/>
        <w:spacing w:line="560" w:lineRule="exact"/>
        <w:ind w:right="-333" w:rightChars="-104" w:firstLine="642" w:firstLineChars="200"/>
        <w:outlineLvl w:val="1"/>
        <w:rPr>
          <w:rFonts w:hint="eastAsia" w:ascii="仿宋" w:hAnsi="仿宋" w:eastAsia="仿宋" w:cs="仿宋"/>
          <w:szCs w:val="32"/>
        </w:rPr>
      </w:pPr>
      <w:r>
        <w:rPr>
          <w:rFonts w:hint="eastAsia" w:ascii="Arial" w:hAnsi="Arial" w:eastAsia="黑体" w:cs="Times New Roman"/>
          <w:b/>
          <w:szCs w:val="24"/>
          <w:lang w:eastAsia="zh-CN"/>
        </w:rPr>
        <w:t>十、</w:t>
      </w:r>
      <w:r>
        <w:rPr>
          <w:rFonts w:hint="eastAsia" w:ascii="Arial" w:hAnsi="Arial" w:eastAsia="黑体" w:cs="Times New Roman"/>
          <w:b/>
          <w:szCs w:val="24"/>
        </w:rPr>
        <w:t>预算绩效目标情况说明</w:t>
      </w:r>
    </w:p>
    <w:p>
      <w:pPr>
        <w:keepNext w:val="0"/>
        <w:keepLines w:val="0"/>
        <w:pageBreakBefore w:val="0"/>
        <w:widowControl w:val="0"/>
        <w:tabs>
          <w:tab w:val="center" w:pos="4475"/>
        </w:tabs>
        <w:suppressAutoHyphens w:val="0"/>
        <w:kinsoku/>
        <w:wordWrap/>
        <w:overflowPunct/>
        <w:topLinePunct w:val="0"/>
        <w:autoSpaceDE/>
        <w:autoSpaceDN w:val="0"/>
        <w:bidi w:val="0"/>
        <w:adjustRightInd/>
        <w:snapToGrid/>
        <w:spacing w:line="560" w:lineRule="exact"/>
        <w:ind w:left="0" w:leftChars="0" w:firstLine="640" w:firstLineChars="200"/>
        <w:textAlignment w:val="auto"/>
        <w:outlineLvl w:val="1"/>
        <w:rPr>
          <w:rFonts w:hint="eastAsia" w:ascii="仿宋_GB2312" w:hAnsi="宋体" w:eastAsia="仿宋_GB2312"/>
          <w:szCs w:val="32"/>
          <w:highlight w:val="none"/>
          <w:lang w:val="en-US" w:eastAsia="zh-CN"/>
        </w:rPr>
      </w:pPr>
      <w:r>
        <w:rPr>
          <w:rFonts w:hint="eastAsia" w:ascii="仿宋" w:hAnsi="仿宋" w:eastAsia="仿宋" w:cs="仿宋"/>
          <w:szCs w:val="32"/>
          <w:u w:val="none"/>
          <w:lang w:val="en-US" w:eastAsia="zh-CN"/>
        </w:rPr>
        <w:t>（一）</w:t>
      </w:r>
      <w:r>
        <w:rPr>
          <w:rFonts w:hint="eastAsia" w:ascii="仿宋" w:hAnsi="仿宋" w:eastAsia="仿宋" w:cs="仿宋"/>
          <w:szCs w:val="32"/>
          <w:u w:val="none"/>
          <w:lang w:eastAsia="zh-CN"/>
        </w:rPr>
        <w:t>自治区资源公路养护中心</w:t>
      </w:r>
      <w:r>
        <w:rPr>
          <w:rFonts w:hint="eastAsia" w:ascii="仿宋" w:hAnsi="仿宋" w:eastAsia="仿宋" w:cs="仿宋"/>
          <w:szCs w:val="32"/>
          <w:u w:val="none"/>
          <w:lang w:val="en-US" w:eastAsia="zh-CN"/>
        </w:rPr>
        <w:t>2026年所有项目支出全面实施绩效目标管理，</w:t>
      </w:r>
      <w:r>
        <w:rPr>
          <w:rFonts w:hint="eastAsia" w:ascii="仿宋" w:hAnsi="仿宋" w:eastAsia="仿宋" w:cs="仿宋"/>
          <w:szCs w:val="32"/>
        </w:rPr>
        <w:t>涉及自治区本级项目</w:t>
      </w:r>
      <w:r>
        <w:rPr>
          <w:rFonts w:hint="eastAsia" w:ascii="仿宋" w:hAnsi="仿宋" w:eastAsia="仿宋" w:cs="仿宋"/>
          <w:szCs w:val="32"/>
          <w:lang w:val="en-US" w:eastAsia="zh-CN"/>
        </w:rPr>
        <w:t>13</w:t>
      </w:r>
      <w:r>
        <w:rPr>
          <w:rFonts w:hint="eastAsia" w:ascii="仿宋" w:hAnsi="仿宋" w:eastAsia="仿宋" w:cs="仿宋"/>
          <w:szCs w:val="32"/>
        </w:rPr>
        <w:t>个，预算资金</w:t>
      </w:r>
      <w:r>
        <w:rPr>
          <w:rFonts w:hint="eastAsia" w:ascii="仿宋" w:hAnsi="仿宋" w:eastAsia="仿宋" w:cs="仿宋"/>
          <w:szCs w:val="32"/>
          <w:lang w:val="en-US" w:eastAsia="zh-CN"/>
        </w:rPr>
        <w:t>1032</w:t>
      </w:r>
      <w:r>
        <w:rPr>
          <w:rFonts w:hint="eastAsia" w:ascii="仿宋" w:hAnsi="仿宋" w:eastAsia="仿宋" w:cs="仿宋"/>
          <w:szCs w:val="32"/>
        </w:rPr>
        <w:t>万元</w:t>
      </w:r>
      <w:r>
        <w:rPr>
          <w:rFonts w:hint="eastAsia" w:ascii="仿宋_GB2312" w:hAnsi="Times New Roman" w:eastAsia="仿宋_GB2312" w:cs="仿宋_GB2312"/>
          <w:b w:val="0"/>
          <w:bCs w:val="0"/>
          <w:caps w:val="0"/>
          <w:color w:val="auto"/>
          <w:kern w:val="2"/>
          <w:szCs w:val="32"/>
          <w:vertAlign w:val="baseline"/>
          <w:lang w:val="en-US" w:eastAsia="zh-CN" w:bidi="ar"/>
        </w:rPr>
        <w:t>。绩效目标情况详见报表（</w:t>
      </w:r>
      <w:r>
        <w:rPr>
          <w:rFonts w:hint="eastAsia" w:ascii="仿宋_GB2312" w:hAnsi="宋体"/>
          <w:szCs w:val="32"/>
        </w:rPr>
        <w:t>日常运转类项目、工资类人员经费项目和涉密项目等除外</w:t>
      </w:r>
      <w:r>
        <w:rPr>
          <w:rFonts w:hint="eastAsia" w:ascii="仿宋_GB2312" w:hAnsi="Times New Roman" w:eastAsia="仿宋_GB2312" w:cs="仿宋_GB2312"/>
          <w:b w:val="0"/>
          <w:bCs w:val="0"/>
          <w:caps w:val="0"/>
          <w:color w:val="auto"/>
          <w:kern w:val="2"/>
          <w:szCs w:val="32"/>
          <w:vertAlign w:val="baseline"/>
          <w:lang w:val="en-US" w:eastAsia="zh-CN" w:bidi="ar"/>
        </w:rPr>
        <w:t>）。</w:t>
      </w:r>
    </w:p>
    <w:p>
      <w:pPr>
        <w:keepNext w:val="0"/>
        <w:keepLines w:val="0"/>
        <w:pageBreakBefore w:val="0"/>
        <w:widowControl w:val="0"/>
        <w:numPr>
          <w:ilvl w:val="0"/>
          <w:numId w:val="0"/>
        </w:numPr>
        <w:tabs>
          <w:tab w:val="center" w:pos="4475"/>
        </w:tabs>
        <w:kinsoku/>
        <w:wordWrap/>
        <w:overflowPunct/>
        <w:topLinePunct w:val="0"/>
        <w:autoSpaceDE/>
        <w:autoSpaceDN/>
        <w:bidi w:val="0"/>
        <w:adjustRightInd/>
        <w:snapToGrid/>
        <w:spacing w:line="560" w:lineRule="exact"/>
        <w:ind w:firstLine="640" w:firstLineChars="200"/>
        <w:textAlignment w:val="auto"/>
        <w:outlineLvl w:val="1"/>
        <w:rPr>
          <w:rFonts w:hint="eastAsia"/>
          <w:lang w:val="en-US" w:eastAsia="zh-CN"/>
        </w:rPr>
      </w:pPr>
      <w:r>
        <w:rPr>
          <w:rFonts w:hint="eastAsia" w:eastAsia="仿宋_GB2312"/>
          <w:kern w:val="2"/>
          <w:sz w:val="32"/>
          <w:szCs w:val="24"/>
          <w:lang w:val="en-US" w:eastAsia="zh-CN" w:bidi="ar-SA"/>
        </w:rPr>
        <w:t>（二）</w:t>
      </w:r>
      <w:r>
        <w:rPr>
          <w:rFonts w:hint="eastAsia"/>
          <w:lang w:val="en-US" w:eastAsia="zh-CN"/>
        </w:rPr>
        <w:t>重点项目预算绩效目标说明。</w:t>
      </w:r>
    </w:p>
    <w:p>
      <w:pPr>
        <w:numPr>
          <w:ilvl w:val="0"/>
          <w:numId w:val="0"/>
        </w:numPr>
        <w:tabs>
          <w:tab w:val="center" w:pos="4475"/>
        </w:tabs>
        <w:spacing w:line="560" w:lineRule="exact"/>
        <w:ind w:firstLine="640" w:firstLineChars="200"/>
        <w:outlineLvl w:val="9"/>
        <w:rPr>
          <w:rFonts w:hint="eastAsia" w:ascii="Times New Roman" w:hAnsi="Times New Roman" w:cs="Times New Roman"/>
          <w:lang w:val="en-US" w:eastAsia="zh-CN"/>
        </w:rPr>
      </w:pPr>
      <w:r>
        <w:rPr>
          <w:rFonts w:hint="eastAsia"/>
          <w:lang w:val="en-US" w:eastAsia="zh-CN"/>
        </w:rPr>
        <w:t>自治区资源公路养护中心</w:t>
      </w:r>
      <w:r>
        <w:rPr>
          <w:rFonts w:hint="eastAsia" w:ascii="CESI仿宋-GB13000" w:hAnsi="CESI仿宋-GB13000" w:eastAsia="CESI仿宋-GB13000" w:cs="CESI仿宋-GB13000"/>
          <w:lang w:val="en-US" w:eastAsia="zh-CN"/>
        </w:rPr>
        <w:t>2026</w:t>
      </w:r>
      <w:r>
        <w:rPr>
          <w:rFonts w:hint="eastAsia"/>
          <w:lang w:val="en-US" w:eastAsia="zh-CN"/>
        </w:rPr>
        <w:t>年预算暂未安排重点项目。</w:t>
      </w:r>
    </w:p>
    <w:p>
      <w:pPr>
        <w:pStyle w:val="2"/>
        <w:spacing w:before="0" w:after="0" w:line="560" w:lineRule="exact"/>
        <w:ind w:firstLine="883" w:firstLineChars="200"/>
        <w:outlineLvl w:val="0"/>
        <w:rPr>
          <w:rFonts w:hint="eastAsia"/>
        </w:rPr>
      </w:pPr>
      <w:r>
        <w:rPr>
          <w:rFonts w:hint="eastAsia"/>
        </w:rPr>
        <w:t>第三部分：名词解释</w:t>
      </w:r>
    </w:p>
    <w:p>
      <w:pPr>
        <w:pStyle w:val="3"/>
        <w:adjustRightInd/>
        <w:snapToGrid/>
        <w:spacing w:before="0" w:after="0" w:line="560" w:lineRule="exact"/>
        <w:ind w:firstLine="963" w:firstLineChars="300"/>
        <w:outlineLvl w:val="1"/>
        <w:rPr>
          <w:rFonts w:hint="eastAsia"/>
        </w:rPr>
      </w:pPr>
      <w:r>
        <w:rPr>
          <w:rFonts w:hint="eastAsia"/>
          <w:lang w:eastAsia="zh-CN"/>
        </w:rPr>
        <w:t>一、</w:t>
      </w:r>
      <w:r>
        <w:rPr>
          <w:rFonts w:hint="eastAsia"/>
        </w:rPr>
        <w:t>收入科目</w:t>
      </w:r>
    </w:p>
    <w:p>
      <w:pPr>
        <w:keepNext w:val="0"/>
        <w:keepLines w:val="0"/>
        <w:pageBreakBefore w:val="0"/>
        <w:widowControl w:val="0"/>
        <w:kinsoku/>
        <w:wordWrap/>
        <w:overflowPunct/>
        <w:topLinePunct w:val="0"/>
        <w:autoSpaceDE/>
        <w:autoSpaceDN/>
        <w:bidi w:val="0"/>
        <w:adjustRightInd w:val="0"/>
        <w:snapToGrid w:val="0"/>
        <w:spacing w:line="560" w:lineRule="exact"/>
        <w:ind w:right="-333" w:rightChars="-104" w:firstLine="640" w:firstLineChars="200"/>
        <w:textAlignment w:val="auto"/>
        <w:outlineLvl w:val="9"/>
        <w:rPr>
          <w:rFonts w:hint="eastAsia" w:ascii="仿宋" w:hAnsi="仿宋" w:eastAsia="仿宋" w:cs="仿宋"/>
          <w:szCs w:val="32"/>
        </w:rPr>
      </w:pPr>
      <w:r>
        <w:rPr>
          <w:rFonts w:hint="eastAsia" w:ascii="仿宋" w:hAnsi="仿宋" w:eastAsia="仿宋" w:cs="仿宋"/>
          <w:szCs w:val="32"/>
          <w:lang w:eastAsia="zh-CN"/>
        </w:rPr>
        <w:t>（一）</w:t>
      </w:r>
      <w:r>
        <w:rPr>
          <w:rFonts w:hint="eastAsia" w:ascii="仿宋" w:hAnsi="仿宋" w:eastAsia="仿宋" w:cs="仿宋"/>
          <w:szCs w:val="32"/>
        </w:rPr>
        <w:t>一般公共预算拨款收入：指自治区财政部门当年拨付的资金。</w:t>
      </w:r>
    </w:p>
    <w:p>
      <w:pPr>
        <w:keepNext w:val="0"/>
        <w:keepLines w:val="0"/>
        <w:pageBreakBefore w:val="0"/>
        <w:widowControl w:val="0"/>
        <w:kinsoku/>
        <w:wordWrap/>
        <w:overflowPunct/>
        <w:topLinePunct w:val="0"/>
        <w:autoSpaceDE/>
        <w:autoSpaceDN/>
        <w:bidi w:val="0"/>
        <w:adjustRightInd w:val="0"/>
        <w:snapToGrid w:val="0"/>
        <w:spacing w:line="560" w:lineRule="exact"/>
        <w:ind w:right="-333" w:rightChars="-104" w:firstLine="640" w:firstLineChars="200"/>
        <w:textAlignment w:val="auto"/>
        <w:outlineLvl w:val="9"/>
        <w:rPr>
          <w:rFonts w:hint="eastAsia" w:ascii="仿宋" w:hAnsi="仿宋" w:eastAsia="仿宋" w:cs="仿宋"/>
          <w:szCs w:val="32"/>
        </w:rPr>
      </w:pPr>
      <w:r>
        <w:rPr>
          <w:rFonts w:hint="eastAsia" w:ascii="仿宋" w:hAnsi="仿宋" w:eastAsia="仿宋" w:cs="仿宋"/>
          <w:szCs w:val="32"/>
          <w:lang w:eastAsia="zh-CN"/>
        </w:rPr>
        <w:t>（二）</w:t>
      </w:r>
      <w:r>
        <w:rPr>
          <w:rFonts w:hint="eastAsia" w:ascii="仿宋" w:hAnsi="仿宋" w:eastAsia="仿宋" w:cs="仿宋"/>
          <w:szCs w:val="32"/>
        </w:rPr>
        <w:t>事业收入：指事业单位开展专业业务活动及辅助活动所取得的收入。</w:t>
      </w:r>
    </w:p>
    <w:p>
      <w:pPr>
        <w:keepNext w:val="0"/>
        <w:keepLines w:val="0"/>
        <w:pageBreakBefore w:val="0"/>
        <w:widowControl w:val="0"/>
        <w:kinsoku/>
        <w:wordWrap/>
        <w:overflowPunct/>
        <w:topLinePunct w:val="0"/>
        <w:autoSpaceDE/>
        <w:autoSpaceDN/>
        <w:bidi w:val="0"/>
        <w:adjustRightInd w:val="0"/>
        <w:snapToGrid w:val="0"/>
        <w:spacing w:line="560" w:lineRule="exact"/>
        <w:ind w:right="-333" w:rightChars="-104" w:firstLine="640" w:firstLineChars="200"/>
        <w:textAlignment w:val="auto"/>
        <w:outlineLvl w:val="9"/>
        <w:rPr>
          <w:rFonts w:hint="eastAsia" w:ascii="仿宋" w:hAnsi="仿宋" w:eastAsia="仿宋" w:cs="仿宋"/>
          <w:szCs w:val="32"/>
        </w:rPr>
      </w:pPr>
      <w:r>
        <w:rPr>
          <w:rFonts w:hint="eastAsia" w:ascii="仿宋" w:hAnsi="仿宋" w:eastAsia="仿宋" w:cs="仿宋"/>
          <w:szCs w:val="32"/>
          <w:lang w:eastAsia="zh-CN"/>
        </w:rPr>
        <w:t>（三）</w:t>
      </w:r>
      <w:r>
        <w:rPr>
          <w:rFonts w:hint="eastAsia" w:ascii="仿宋" w:hAnsi="仿宋" w:eastAsia="仿宋" w:cs="仿宋"/>
          <w:szCs w:val="32"/>
        </w:rPr>
        <w:t>其他收入：指除“财政拨款收入”“事业收入”“经营收入”等以外的收入。</w:t>
      </w:r>
    </w:p>
    <w:p>
      <w:pPr>
        <w:keepNext w:val="0"/>
        <w:keepLines w:val="0"/>
        <w:pageBreakBefore w:val="0"/>
        <w:widowControl w:val="0"/>
        <w:kinsoku/>
        <w:wordWrap/>
        <w:overflowPunct/>
        <w:topLinePunct w:val="0"/>
        <w:autoSpaceDE/>
        <w:autoSpaceDN/>
        <w:bidi w:val="0"/>
        <w:adjustRightInd w:val="0"/>
        <w:snapToGrid w:val="0"/>
        <w:spacing w:line="560" w:lineRule="exact"/>
        <w:ind w:right="-333" w:rightChars="-104" w:firstLine="640" w:firstLineChars="200"/>
        <w:textAlignment w:val="auto"/>
        <w:outlineLvl w:val="9"/>
        <w:rPr>
          <w:rFonts w:hint="eastAsia" w:ascii="仿宋" w:hAnsi="仿宋" w:eastAsia="仿宋" w:cs="仿宋"/>
          <w:szCs w:val="32"/>
        </w:rPr>
      </w:pPr>
      <w:r>
        <w:rPr>
          <w:rFonts w:hint="eastAsia" w:ascii="仿宋" w:hAnsi="仿宋" w:eastAsia="仿宋" w:cs="仿宋"/>
          <w:szCs w:val="32"/>
          <w:lang w:eastAsia="zh-CN"/>
        </w:rPr>
        <w:t>（四）</w:t>
      </w:r>
      <w:r>
        <w:rPr>
          <w:rFonts w:hint="eastAsia" w:ascii="仿宋" w:hAnsi="仿宋" w:eastAsia="仿宋" w:cs="仿宋"/>
          <w:szCs w:val="32"/>
        </w:rPr>
        <w:t>上年结转结余：指以前年度尚未完成、结转到本年按有关规定继续使用的资金。</w:t>
      </w:r>
    </w:p>
    <w:p>
      <w:pPr>
        <w:pStyle w:val="3"/>
        <w:adjustRightInd/>
        <w:snapToGrid/>
        <w:spacing w:before="0" w:after="0" w:line="560" w:lineRule="exact"/>
        <w:ind w:firstLine="642" w:firstLineChars="200"/>
        <w:outlineLvl w:val="1"/>
        <w:rPr>
          <w:rFonts w:hint="eastAsia" w:ascii="Arial" w:hAnsi="Arial" w:eastAsia="黑体" w:cs="Times New Roman"/>
          <w:szCs w:val="24"/>
        </w:rPr>
      </w:pPr>
      <w:r>
        <w:rPr>
          <w:rFonts w:hint="eastAsia" w:ascii="Arial" w:hAnsi="Arial" w:eastAsia="黑体" w:cs="Times New Roman"/>
          <w:szCs w:val="24"/>
          <w:lang w:eastAsia="zh-CN"/>
        </w:rPr>
        <w:t>二、</w:t>
      </w:r>
      <w:r>
        <w:rPr>
          <w:rFonts w:hint="eastAsia" w:ascii="Arial" w:hAnsi="Arial" w:eastAsia="黑体" w:cs="Times New Roman"/>
          <w:szCs w:val="24"/>
        </w:rPr>
        <w:t>支出科目</w:t>
      </w:r>
    </w:p>
    <w:p>
      <w:pPr>
        <w:keepNext w:val="0"/>
        <w:keepLines w:val="0"/>
        <w:pageBreakBefore w:val="0"/>
        <w:widowControl w:val="0"/>
        <w:kinsoku/>
        <w:wordWrap/>
        <w:overflowPunct/>
        <w:topLinePunct w:val="0"/>
        <w:autoSpaceDE/>
        <w:autoSpaceDN/>
        <w:bidi w:val="0"/>
        <w:adjustRightInd w:val="0"/>
        <w:snapToGrid w:val="0"/>
        <w:spacing w:beforeLines="0" w:afterLines="0" w:line="560" w:lineRule="exact"/>
        <w:ind w:right="-333" w:rightChars="-104" w:firstLine="640" w:firstLineChars="200"/>
        <w:textAlignment w:val="auto"/>
        <w:outlineLvl w:val="9"/>
        <w:rPr>
          <w:rFonts w:hint="eastAsia" w:ascii="仿宋" w:hAnsi="仿宋" w:eastAsia="仿宋" w:cs="仿宋"/>
          <w:szCs w:val="32"/>
        </w:rPr>
      </w:pPr>
      <w:r>
        <w:rPr>
          <w:rFonts w:hint="eastAsia" w:ascii="仿宋" w:hAnsi="仿宋" w:eastAsia="仿宋" w:cs="仿宋"/>
          <w:szCs w:val="32"/>
          <w:lang w:eastAsia="zh-CN"/>
        </w:rPr>
        <w:t>（一）</w:t>
      </w:r>
      <w:r>
        <w:rPr>
          <w:rFonts w:hint="eastAsia" w:ascii="仿宋" w:hAnsi="仿宋" w:eastAsia="仿宋" w:cs="仿宋"/>
          <w:szCs w:val="32"/>
        </w:rPr>
        <w:t>社会保障和就业（类）行政事业单位养老（款）：</w:t>
      </w:r>
    </w:p>
    <w:p>
      <w:pPr>
        <w:keepNext w:val="0"/>
        <w:keepLines w:val="0"/>
        <w:pageBreakBefore w:val="0"/>
        <w:widowControl w:val="0"/>
        <w:kinsoku/>
        <w:wordWrap/>
        <w:overflowPunct/>
        <w:topLinePunct w:val="0"/>
        <w:autoSpaceDE/>
        <w:autoSpaceDN/>
        <w:bidi w:val="0"/>
        <w:adjustRightInd w:val="0"/>
        <w:snapToGrid w:val="0"/>
        <w:spacing w:beforeLines="0" w:afterLines="0" w:line="560" w:lineRule="exact"/>
        <w:ind w:right="-333" w:rightChars="-104" w:firstLine="640" w:firstLineChars="200"/>
        <w:textAlignment w:val="auto"/>
        <w:outlineLvl w:val="9"/>
        <w:rPr>
          <w:rFonts w:hint="eastAsia" w:ascii="仿宋" w:hAnsi="仿宋" w:eastAsia="仿宋" w:cs="仿宋"/>
          <w:szCs w:val="32"/>
        </w:rPr>
      </w:pPr>
      <w:r>
        <w:rPr>
          <w:rFonts w:hint="eastAsia" w:ascii="仿宋" w:hAnsi="仿宋" w:eastAsia="仿宋" w:cs="仿宋"/>
          <w:szCs w:val="32"/>
          <w:lang w:eastAsia="zh-CN"/>
        </w:rPr>
        <w:t>1</w:t>
      </w:r>
      <w:r>
        <w:rPr>
          <w:rFonts w:hint="eastAsia" w:ascii="仿宋" w:hAnsi="仿宋" w:eastAsia="仿宋" w:cs="仿宋"/>
          <w:szCs w:val="32"/>
          <w:lang w:val="en-US" w:eastAsia="zh-CN"/>
        </w:rPr>
        <w:t>.</w:t>
      </w:r>
      <w:r>
        <w:rPr>
          <w:rFonts w:hint="eastAsia" w:ascii="仿宋" w:hAnsi="仿宋" w:eastAsia="仿宋" w:cs="仿宋"/>
          <w:szCs w:val="32"/>
        </w:rPr>
        <w:t>社会保障和就业（类）行政事业单位养老支出（款）机关事业单位基本养老保险缴费支出（项）：主要用于支付行政及事业单位在职职工的单位养老保险费用。</w:t>
      </w:r>
    </w:p>
    <w:p>
      <w:pPr>
        <w:keepNext w:val="0"/>
        <w:keepLines w:val="0"/>
        <w:pageBreakBefore w:val="0"/>
        <w:widowControl w:val="0"/>
        <w:kinsoku/>
        <w:wordWrap/>
        <w:overflowPunct/>
        <w:topLinePunct w:val="0"/>
        <w:autoSpaceDE/>
        <w:autoSpaceDN/>
        <w:bidi w:val="0"/>
        <w:adjustRightInd w:val="0"/>
        <w:snapToGrid w:val="0"/>
        <w:spacing w:line="560" w:lineRule="exact"/>
        <w:ind w:right="-333" w:rightChars="-104" w:firstLine="640" w:firstLineChars="200"/>
        <w:textAlignment w:val="auto"/>
        <w:outlineLvl w:val="9"/>
        <w:rPr>
          <w:rFonts w:hint="eastAsia" w:ascii="仿宋" w:hAnsi="仿宋" w:eastAsia="仿宋" w:cs="仿宋"/>
          <w:szCs w:val="32"/>
        </w:rPr>
      </w:pPr>
      <w:r>
        <w:rPr>
          <w:rFonts w:hint="eastAsia" w:ascii="仿宋" w:hAnsi="仿宋" w:eastAsia="仿宋" w:cs="仿宋"/>
          <w:szCs w:val="32"/>
          <w:lang w:eastAsia="zh-CN"/>
        </w:rPr>
        <w:t>2</w:t>
      </w:r>
      <w:r>
        <w:rPr>
          <w:rFonts w:hint="eastAsia" w:ascii="仿宋" w:hAnsi="仿宋" w:eastAsia="仿宋" w:cs="仿宋"/>
          <w:szCs w:val="32"/>
          <w:lang w:val="en-US" w:eastAsia="zh-CN"/>
        </w:rPr>
        <w:t>.</w:t>
      </w:r>
      <w:r>
        <w:rPr>
          <w:rFonts w:hint="eastAsia" w:ascii="仿宋" w:hAnsi="仿宋" w:eastAsia="仿宋" w:cs="仿宋"/>
          <w:szCs w:val="32"/>
        </w:rPr>
        <w:t>社会保障和就业（类）行政事业单位养老支出（款）机关事业单位职业年金缴费支出（项）：主要用于支付行政及事业单位在职职工单位职业年金费用。</w:t>
      </w:r>
    </w:p>
    <w:p>
      <w:pPr>
        <w:keepNext w:val="0"/>
        <w:keepLines w:val="0"/>
        <w:pageBreakBefore w:val="0"/>
        <w:widowControl w:val="0"/>
        <w:kinsoku/>
        <w:wordWrap/>
        <w:overflowPunct/>
        <w:topLinePunct w:val="0"/>
        <w:autoSpaceDE/>
        <w:autoSpaceDN/>
        <w:bidi w:val="0"/>
        <w:adjustRightInd w:val="0"/>
        <w:snapToGrid w:val="0"/>
        <w:spacing w:line="560" w:lineRule="exact"/>
        <w:ind w:right="-333" w:rightChars="-104" w:firstLine="640" w:firstLineChars="200"/>
        <w:textAlignment w:val="auto"/>
        <w:outlineLvl w:val="9"/>
        <w:rPr>
          <w:rFonts w:hint="eastAsia" w:ascii="仿宋" w:hAnsi="仿宋" w:eastAsia="仿宋" w:cs="仿宋"/>
          <w:szCs w:val="32"/>
        </w:rPr>
      </w:pPr>
      <w:r>
        <w:rPr>
          <w:rFonts w:hint="eastAsia" w:ascii="仿宋" w:hAnsi="仿宋" w:eastAsia="仿宋" w:cs="仿宋"/>
          <w:szCs w:val="32"/>
          <w:lang w:eastAsia="zh-CN"/>
        </w:rPr>
        <w:t>（二）</w:t>
      </w:r>
      <w:r>
        <w:rPr>
          <w:rFonts w:hint="eastAsia" w:ascii="仿宋" w:hAnsi="仿宋" w:eastAsia="仿宋" w:cs="仿宋"/>
          <w:szCs w:val="32"/>
        </w:rPr>
        <w:t>卫生健康（类）行政事业单位医疗（款）：</w:t>
      </w:r>
    </w:p>
    <w:p>
      <w:pPr>
        <w:keepNext w:val="0"/>
        <w:keepLines w:val="0"/>
        <w:pageBreakBefore w:val="0"/>
        <w:widowControl w:val="0"/>
        <w:kinsoku/>
        <w:wordWrap/>
        <w:overflowPunct/>
        <w:topLinePunct w:val="0"/>
        <w:autoSpaceDE/>
        <w:autoSpaceDN/>
        <w:bidi w:val="0"/>
        <w:adjustRightInd w:val="0"/>
        <w:snapToGrid w:val="0"/>
        <w:spacing w:line="560" w:lineRule="exact"/>
        <w:ind w:right="-333" w:rightChars="-104" w:firstLine="640" w:firstLineChars="200"/>
        <w:textAlignment w:val="auto"/>
        <w:outlineLvl w:val="9"/>
        <w:rPr>
          <w:rFonts w:hint="eastAsia" w:ascii="仿宋" w:hAnsi="仿宋" w:eastAsia="仿宋" w:cs="仿宋"/>
          <w:szCs w:val="32"/>
        </w:rPr>
      </w:pPr>
      <w:r>
        <w:rPr>
          <w:rFonts w:hint="eastAsia" w:ascii="仿宋" w:hAnsi="仿宋" w:eastAsia="仿宋" w:cs="仿宋"/>
          <w:szCs w:val="32"/>
          <w:lang w:eastAsia="zh-CN"/>
        </w:rPr>
        <w:t>1</w:t>
      </w:r>
      <w:r>
        <w:rPr>
          <w:rFonts w:hint="eastAsia" w:ascii="仿宋" w:hAnsi="仿宋" w:eastAsia="仿宋" w:cs="仿宋"/>
          <w:szCs w:val="32"/>
          <w:lang w:val="en-US" w:eastAsia="zh-CN"/>
        </w:rPr>
        <w:t>.</w:t>
      </w:r>
      <w:r>
        <w:rPr>
          <w:rFonts w:hint="eastAsia" w:ascii="仿宋" w:hAnsi="仿宋" w:eastAsia="仿宋" w:cs="仿宋"/>
          <w:szCs w:val="32"/>
        </w:rPr>
        <w:t>卫生健康支出（类）行政事业单位医疗（款）事业单位医疗（项）：主要是根据自治区统一规定，按事业单位在职职工工资总额的一定比例计缴的医疗保险。</w:t>
      </w:r>
    </w:p>
    <w:p>
      <w:pPr>
        <w:keepNext w:val="0"/>
        <w:keepLines w:val="0"/>
        <w:pageBreakBefore w:val="0"/>
        <w:widowControl w:val="0"/>
        <w:kinsoku/>
        <w:wordWrap/>
        <w:overflowPunct/>
        <w:topLinePunct w:val="0"/>
        <w:autoSpaceDE/>
        <w:autoSpaceDN/>
        <w:bidi w:val="0"/>
        <w:adjustRightInd w:val="0"/>
        <w:snapToGrid w:val="0"/>
        <w:spacing w:line="560" w:lineRule="exact"/>
        <w:ind w:right="-333" w:rightChars="-104" w:firstLine="640" w:firstLineChars="200"/>
        <w:textAlignment w:val="auto"/>
        <w:outlineLvl w:val="9"/>
        <w:rPr>
          <w:rFonts w:hint="eastAsia" w:ascii="仿宋" w:hAnsi="仿宋" w:eastAsia="仿宋" w:cs="仿宋"/>
          <w:szCs w:val="32"/>
        </w:rPr>
      </w:pPr>
      <w:r>
        <w:rPr>
          <w:rFonts w:hint="eastAsia" w:ascii="仿宋" w:hAnsi="仿宋" w:eastAsia="仿宋" w:cs="仿宋"/>
          <w:szCs w:val="32"/>
          <w:lang w:eastAsia="zh-CN"/>
        </w:rPr>
        <w:t>2</w:t>
      </w:r>
      <w:r>
        <w:rPr>
          <w:rFonts w:hint="eastAsia" w:ascii="仿宋" w:hAnsi="仿宋" w:eastAsia="仿宋" w:cs="仿宋"/>
          <w:szCs w:val="32"/>
          <w:lang w:val="en-US" w:eastAsia="zh-CN"/>
        </w:rPr>
        <w:t>.</w:t>
      </w:r>
      <w:r>
        <w:rPr>
          <w:rFonts w:hint="eastAsia" w:ascii="仿宋" w:hAnsi="仿宋" w:eastAsia="仿宋" w:cs="仿宋"/>
          <w:szCs w:val="32"/>
        </w:rPr>
        <w:t>卫生健康支出（类）行政事业单位医疗（款）公务员医疗补助（项）：反映财政部门安排的公务员医疗补助经费。</w:t>
      </w:r>
    </w:p>
    <w:p>
      <w:pPr>
        <w:keepNext w:val="0"/>
        <w:keepLines w:val="0"/>
        <w:pageBreakBefore w:val="0"/>
        <w:widowControl w:val="0"/>
        <w:kinsoku/>
        <w:wordWrap/>
        <w:overflowPunct/>
        <w:topLinePunct w:val="0"/>
        <w:autoSpaceDE/>
        <w:autoSpaceDN/>
        <w:bidi w:val="0"/>
        <w:adjustRightInd w:val="0"/>
        <w:snapToGrid w:val="0"/>
        <w:spacing w:line="560" w:lineRule="exact"/>
        <w:ind w:right="-333" w:rightChars="-104" w:firstLine="640" w:firstLineChars="200"/>
        <w:textAlignment w:val="auto"/>
        <w:outlineLvl w:val="9"/>
        <w:rPr>
          <w:rFonts w:hint="eastAsia" w:ascii="仿宋" w:hAnsi="仿宋" w:eastAsia="仿宋" w:cs="仿宋"/>
          <w:szCs w:val="32"/>
        </w:rPr>
      </w:pPr>
      <w:r>
        <w:rPr>
          <w:rFonts w:hint="eastAsia" w:ascii="仿宋" w:hAnsi="仿宋" w:eastAsia="仿宋" w:cs="仿宋"/>
          <w:szCs w:val="32"/>
          <w:lang w:eastAsia="zh-CN"/>
        </w:rPr>
        <w:t>（三）</w:t>
      </w:r>
      <w:r>
        <w:rPr>
          <w:rFonts w:hint="eastAsia" w:ascii="仿宋" w:hAnsi="仿宋" w:eastAsia="仿宋" w:cs="仿宋"/>
          <w:szCs w:val="32"/>
        </w:rPr>
        <w:t>交通运输（类）：</w:t>
      </w:r>
    </w:p>
    <w:p>
      <w:pPr>
        <w:keepNext w:val="0"/>
        <w:keepLines w:val="0"/>
        <w:pageBreakBefore w:val="0"/>
        <w:widowControl w:val="0"/>
        <w:kinsoku/>
        <w:wordWrap/>
        <w:overflowPunct/>
        <w:topLinePunct w:val="0"/>
        <w:autoSpaceDE/>
        <w:autoSpaceDN/>
        <w:bidi w:val="0"/>
        <w:adjustRightInd w:val="0"/>
        <w:snapToGrid w:val="0"/>
        <w:spacing w:line="560" w:lineRule="exact"/>
        <w:ind w:right="-333" w:rightChars="-104" w:firstLine="640" w:firstLineChars="200"/>
        <w:textAlignment w:val="auto"/>
        <w:outlineLvl w:val="9"/>
        <w:rPr>
          <w:rFonts w:hint="eastAsia" w:ascii="仿宋" w:hAnsi="仿宋" w:eastAsia="仿宋" w:cs="仿宋"/>
          <w:szCs w:val="32"/>
        </w:rPr>
      </w:pPr>
      <w:r>
        <w:rPr>
          <w:rFonts w:hint="eastAsia" w:ascii="仿宋" w:hAnsi="仿宋" w:eastAsia="仿宋" w:cs="仿宋"/>
          <w:szCs w:val="32"/>
          <w:lang w:val="en-US" w:eastAsia="zh-CN"/>
        </w:rPr>
        <w:t>1.</w:t>
      </w:r>
      <w:r>
        <w:rPr>
          <w:rFonts w:hint="eastAsia" w:ascii="仿宋" w:hAnsi="仿宋" w:eastAsia="仿宋" w:cs="仿宋"/>
          <w:szCs w:val="32"/>
        </w:rPr>
        <w:t>公路水路运输（款）公路建设（项）：反映公路新建和改扩建支出，特大型桥梁建设、公路客货运站（场）以及公路相关设备设施建设支出。</w:t>
      </w:r>
    </w:p>
    <w:p>
      <w:pPr>
        <w:keepNext w:val="0"/>
        <w:keepLines w:val="0"/>
        <w:pageBreakBefore w:val="0"/>
        <w:widowControl w:val="0"/>
        <w:kinsoku/>
        <w:wordWrap/>
        <w:overflowPunct/>
        <w:topLinePunct w:val="0"/>
        <w:autoSpaceDE/>
        <w:autoSpaceDN/>
        <w:bidi w:val="0"/>
        <w:adjustRightInd w:val="0"/>
        <w:snapToGrid w:val="0"/>
        <w:spacing w:line="560" w:lineRule="exact"/>
        <w:ind w:right="-333" w:rightChars="-104" w:firstLine="640" w:firstLineChars="200"/>
        <w:textAlignment w:val="auto"/>
        <w:outlineLvl w:val="9"/>
        <w:rPr>
          <w:rFonts w:hint="eastAsia" w:ascii="仿宋" w:hAnsi="仿宋" w:eastAsia="仿宋" w:cs="仿宋"/>
          <w:szCs w:val="32"/>
        </w:rPr>
      </w:pPr>
      <w:r>
        <w:rPr>
          <w:rFonts w:hint="eastAsia" w:ascii="仿宋" w:hAnsi="仿宋" w:eastAsia="仿宋" w:cs="仿宋"/>
          <w:szCs w:val="32"/>
          <w:lang w:val="en-US" w:eastAsia="zh-CN"/>
        </w:rPr>
        <w:t>2.</w:t>
      </w:r>
      <w:r>
        <w:rPr>
          <w:rFonts w:hint="eastAsia" w:ascii="仿宋" w:hAnsi="仿宋" w:eastAsia="仿宋" w:cs="仿宋"/>
          <w:szCs w:val="32"/>
        </w:rPr>
        <w:t>公路水路运输（款）公路养护（项）：反映公路养护支出。</w:t>
      </w:r>
    </w:p>
    <w:p>
      <w:pPr>
        <w:keepNext w:val="0"/>
        <w:keepLines w:val="0"/>
        <w:pageBreakBefore w:val="0"/>
        <w:widowControl w:val="0"/>
        <w:kinsoku/>
        <w:wordWrap/>
        <w:overflowPunct/>
        <w:topLinePunct w:val="0"/>
        <w:autoSpaceDE/>
        <w:autoSpaceDN/>
        <w:bidi w:val="0"/>
        <w:adjustRightInd w:val="0"/>
        <w:snapToGrid w:val="0"/>
        <w:spacing w:line="560" w:lineRule="exact"/>
        <w:ind w:right="-333" w:rightChars="-104" w:firstLine="640" w:firstLineChars="200"/>
        <w:textAlignment w:val="auto"/>
        <w:outlineLvl w:val="9"/>
        <w:rPr>
          <w:rFonts w:hint="eastAsia" w:ascii="仿宋" w:hAnsi="仿宋" w:eastAsia="仿宋" w:cs="仿宋"/>
          <w:szCs w:val="32"/>
        </w:rPr>
      </w:pPr>
      <w:r>
        <w:rPr>
          <w:rFonts w:hint="eastAsia" w:ascii="仿宋" w:hAnsi="仿宋" w:eastAsia="仿宋" w:cs="仿宋"/>
          <w:szCs w:val="32"/>
          <w:lang w:val="en-US" w:eastAsia="zh-CN"/>
        </w:rPr>
        <w:t>3.</w:t>
      </w:r>
      <w:r>
        <w:rPr>
          <w:rFonts w:hint="eastAsia" w:ascii="仿宋" w:hAnsi="仿宋" w:eastAsia="仿宋" w:cs="仿宋"/>
          <w:szCs w:val="32"/>
        </w:rPr>
        <w:t>公路水路运输（款）其他公路水路运输支出（项）：指除上述项目之外的用于其他公路水路运输事务的支出。</w:t>
      </w:r>
    </w:p>
    <w:p>
      <w:pPr>
        <w:keepNext w:val="0"/>
        <w:keepLines w:val="0"/>
        <w:pageBreakBefore w:val="0"/>
        <w:widowControl w:val="0"/>
        <w:kinsoku/>
        <w:wordWrap/>
        <w:overflowPunct/>
        <w:topLinePunct w:val="0"/>
        <w:autoSpaceDE/>
        <w:autoSpaceDN/>
        <w:bidi w:val="0"/>
        <w:adjustRightInd w:val="0"/>
        <w:snapToGrid w:val="0"/>
        <w:spacing w:line="560" w:lineRule="exact"/>
        <w:ind w:right="-333" w:rightChars="-104" w:firstLine="640" w:firstLineChars="200"/>
        <w:textAlignment w:val="auto"/>
        <w:outlineLvl w:val="9"/>
        <w:rPr>
          <w:rFonts w:hint="eastAsia" w:ascii="仿宋" w:hAnsi="仿宋" w:eastAsia="仿宋" w:cs="仿宋"/>
          <w:szCs w:val="32"/>
        </w:rPr>
      </w:pPr>
      <w:r>
        <w:rPr>
          <w:rFonts w:hint="eastAsia" w:ascii="仿宋" w:hAnsi="仿宋" w:eastAsia="仿宋" w:cs="仿宋"/>
          <w:szCs w:val="32"/>
          <w:lang w:eastAsia="zh-CN"/>
        </w:rPr>
        <w:t>（四）</w:t>
      </w:r>
      <w:r>
        <w:rPr>
          <w:rFonts w:hint="eastAsia" w:ascii="仿宋" w:hAnsi="仿宋" w:eastAsia="仿宋" w:cs="仿宋"/>
          <w:szCs w:val="32"/>
        </w:rPr>
        <w:t>交通运输（类）车辆购置税支出（款）车辆购置税用于公路等基础设施建设支出（项）：指车辆购置税安排用于公路等基础设施管理等项目支出。</w:t>
      </w:r>
    </w:p>
    <w:p>
      <w:pPr>
        <w:keepNext w:val="0"/>
        <w:keepLines w:val="0"/>
        <w:pageBreakBefore w:val="0"/>
        <w:widowControl w:val="0"/>
        <w:kinsoku/>
        <w:wordWrap/>
        <w:overflowPunct/>
        <w:topLinePunct w:val="0"/>
        <w:autoSpaceDE/>
        <w:autoSpaceDN/>
        <w:bidi w:val="0"/>
        <w:adjustRightInd w:val="0"/>
        <w:snapToGrid w:val="0"/>
        <w:spacing w:line="560" w:lineRule="exact"/>
        <w:ind w:right="-333" w:rightChars="-104" w:firstLine="640" w:firstLineChars="200"/>
        <w:textAlignment w:val="auto"/>
        <w:outlineLvl w:val="9"/>
        <w:rPr>
          <w:rFonts w:hint="eastAsia" w:ascii="仿宋" w:hAnsi="仿宋" w:eastAsia="仿宋" w:cs="仿宋"/>
          <w:szCs w:val="32"/>
        </w:rPr>
      </w:pPr>
      <w:r>
        <w:rPr>
          <w:rFonts w:hint="eastAsia" w:ascii="仿宋" w:hAnsi="仿宋" w:eastAsia="仿宋" w:cs="仿宋"/>
          <w:szCs w:val="32"/>
          <w:lang w:eastAsia="zh-CN"/>
        </w:rPr>
        <w:t>（五）</w:t>
      </w:r>
      <w:r>
        <w:rPr>
          <w:rFonts w:hint="eastAsia" w:ascii="仿宋" w:hAnsi="仿宋" w:eastAsia="仿宋" w:cs="仿宋"/>
          <w:szCs w:val="32"/>
        </w:rPr>
        <w:t>交通运输（类）车辆购置税支出（款）其他交通运输支出（项）：指车辆购置税安排的其他项目支出。</w:t>
      </w:r>
    </w:p>
    <w:p>
      <w:pPr>
        <w:keepNext w:val="0"/>
        <w:keepLines w:val="0"/>
        <w:pageBreakBefore w:val="0"/>
        <w:widowControl w:val="0"/>
        <w:kinsoku/>
        <w:wordWrap/>
        <w:overflowPunct/>
        <w:topLinePunct w:val="0"/>
        <w:autoSpaceDE/>
        <w:autoSpaceDN/>
        <w:bidi w:val="0"/>
        <w:adjustRightInd w:val="0"/>
        <w:snapToGrid w:val="0"/>
        <w:spacing w:line="560" w:lineRule="exact"/>
        <w:ind w:right="-333" w:rightChars="-104" w:firstLine="640" w:firstLineChars="200"/>
        <w:textAlignment w:val="auto"/>
        <w:outlineLvl w:val="9"/>
        <w:rPr>
          <w:rFonts w:hint="eastAsia" w:ascii="仿宋" w:hAnsi="仿宋" w:eastAsia="仿宋" w:cs="仿宋"/>
          <w:szCs w:val="32"/>
        </w:rPr>
      </w:pPr>
      <w:r>
        <w:rPr>
          <w:rFonts w:hint="eastAsia" w:ascii="仿宋" w:hAnsi="仿宋" w:eastAsia="仿宋" w:cs="仿宋"/>
          <w:szCs w:val="32"/>
          <w:lang w:eastAsia="zh-CN"/>
        </w:rPr>
        <w:t>（六）</w:t>
      </w:r>
      <w:r>
        <w:rPr>
          <w:rFonts w:hint="eastAsia" w:ascii="仿宋" w:hAnsi="仿宋" w:eastAsia="仿宋" w:cs="仿宋"/>
          <w:szCs w:val="32"/>
        </w:rPr>
        <w:t>住房保障支出（类）住房改革支出（款）住房公积金（项）：主要是按照国家统一规定，为交通运输厅机关和厅属事业单位职工计缴的住房公积金。</w:t>
      </w:r>
    </w:p>
    <w:p>
      <w:pPr>
        <w:keepNext w:val="0"/>
        <w:keepLines w:val="0"/>
        <w:pageBreakBefore w:val="0"/>
        <w:widowControl w:val="0"/>
        <w:kinsoku/>
        <w:wordWrap/>
        <w:overflowPunct/>
        <w:topLinePunct w:val="0"/>
        <w:autoSpaceDE/>
        <w:autoSpaceDN/>
        <w:bidi w:val="0"/>
        <w:adjustRightInd w:val="0"/>
        <w:snapToGrid w:val="0"/>
        <w:spacing w:line="560" w:lineRule="exact"/>
        <w:ind w:right="-333" w:rightChars="-104" w:firstLine="640" w:firstLineChars="200"/>
        <w:textAlignment w:val="auto"/>
        <w:outlineLvl w:val="9"/>
        <w:rPr>
          <w:rFonts w:hint="eastAsia" w:ascii="仿宋" w:hAnsi="仿宋" w:eastAsia="仿宋" w:cs="仿宋"/>
          <w:szCs w:val="32"/>
        </w:rPr>
      </w:pPr>
      <w:r>
        <w:rPr>
          <w:rFonts w:hint="eastAsia" w:ascii="仿宋" w:hAnsi="仿宋" w:eastAsia="仿宋" w:cs="仿宋"/>
          <w:szCs w:val="32"/>
          <w:lang w:eastAsia="zh-CN"/>
        </w:rPr>
        <w:t>（七）</w:t>
      </w:r>
      <w:r>
        <w:rPr>
          <w:rFonts w:hint="eastAsia" w:ascii="仿宋" w:hAnsi="仿宋" w:eastAsia="仿宋" w:cs="仿宋"/>
          <w:szCs w:val="32"/>
        </w:rPr>
        <w:t>“三公”经费：纳入自治区财政预决算管理的“三公”经费，是指自治区本级各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车辆购置支出（含车辆购置税）及租用费、燃料费、维修费、过路过桥费、保险费、安全奖励费用等支出；公务接待费反映单位按规定开支的各类公务接待（含外宾接待）支出。</w:t>
      </w:r>
    </w:p>
    <w:p>
      <w:pPr>
        <w:keepNext w:val="0"/>
        <w:keepLines w:val="0"/>
        <w:pageBreakBefore w:val="0"/>
        <w:widowControl w:val="0"/>
        <w:kinsoku/>
        <w:wordWrap/>
        <w:overflowPunct/>
        <w:topLinePunct w:val="0"/>
        <w:autoSpaceDE/>
        <w:autoSpaceDN/>
        <w:bidi w:val="0"/>
        <w:adjustRightInd w:val="0"/>
        <w:snapToGrid w:val="0"/>
        <w:spacing w:line="560" w:lineRule="exact"/>
        <w:ind w:right="-333" w:rightChars="-104" w:firstLine="640" w:firstLineChars="200"/>
        <w:textAlignment w:val="auto"/>
        <w:outlineLvl w:val="9"/>
        <w:rPr>
          <w:rFonts w:hint="eastAsia" w:ascii="仿宋" w:hAnsi="仿宋" w:eastAsia="仿宋" w:cs="仿宋"/>
          <w:szCs w:val="32"/>
        </w:rPr>
      </w:pPr>
      <w:r>
        <w:rPr>
          <w:rFonts w:hint="eastAsia" w:ascii="仿宋" w:hAnsi="仿宋" w:eastAsia="仿宋" w:cs="仿宋"/>
          <w:szCs w:val="32"/>
          <w:lang w:eastAsia="zh-CN"/>
        </w:rPr>
        <w:t>（八）</w:t>
      </w:r>
      <w:r>
        <w:rPr>
          <w:rFonts w:hint="eastAsia" w:ascii="仿宋" w:hAnsi="仿宋" w:eastAsia="仿宋" w:cs="仿宋"/>
          <w:szCs w:val="32"/>
        </w:rPr>
        <w:t>事业单位相关运行经费：为保障单位运行用于购买货物和服务的各项资金，包括办公及印刷费、邮电费、差旅费、会议费、福利费、日常维修费、专用材料及一般设备购置费、办公用房水电费、办公用房取暖费、办公用房物业管理费、公务用车运行维护费以及其他费用。</w:t>
      </w:r>
    </w:p>
    <w:p>
      <w:pPr>
        <w:keepNext w:val="0"/>
        <w:keepLines w:val="0"/>
        <w:pageBreakBefore w:val="0"/>
        <w:widowControl w:val="0"/>
        <w:kinsoku/>
        <w:wordWrap/>
        <w:overflowPunct/>
        <w:topLinePunct w:val="0"/>
        <w:autoSpaceDE/>
        <w:autoSpaceDN/>
        <w:bidi w:val="0"/>
        <w:adjustRightInd w:val="0"/>
        <w:snapToGrid w:val="0"/>
        <w:spacing w:line="560" w:lineRule="exact"/>
        <w:ind w:right="-333" w:rightChars="-104" w:firstLine="640" w:firstLineChars="200"/>
        <w:textAlignment w:val="auto"/>
        <w:outlineLvl w:val="9"/>
        <w:rPr>
          <w:rFonts w:hint="eastAsia" w:ascii="仿宋" w:hAnsi="仿宋" w:eastAsia="仿宋" w:cs="仿宋"/>
          <w:szCs w:val="32"/>
        </w:rPr>
      </w:pPr>
      <w:r>
        <w:rPr>
          <w:rFonts w:hint="eastAsia" w:ascii="仿宋" w:hAnsi="仿宋" w:eastAsia="仿宋" w:cs="仿宋"/>
          <w:szCs w:val="32"/>
          <w:lang w:eastAsia="zh-CN"/>
        </w:rPr>
        <w:t>（九）</w:t>
      </w:r>
      <w:r>
        <w:rPr>
          <w:rFonts w:hint="eastAsia" w:ascii="仿宋" w:hAnsi="仿宋" w:eastAsia="仿宋" w:cs="仿宋"/>
          <w:szCs w:val="32"/>
        </w:rPr>
        <w:t>基本支出：指为保障机构正常运转、完成日常工作任务而发生的人员支出和公用支出。</w:t>
      </w:r>
    </w:p>
    <w:p>
      <w:pPr>
        <w:keepNext w:val="0"/>
        <w:keepLines w:val="0"/>
        <w:pageBreakBefore w:val="0"/>
        <w:widowControl w:val="0"/>
        <w:kinsoku/>
        <w:wordWrap/>
        <w:overflowPunct/>
        <w:topLinePunct w:val="0"/>
        <w:autoSpaceDE/>
        <w:autoSpaceDN/>
        <w:bidi w:val="0"/>
        <w:adjustRightInd w:val="0"/>
        <w:snapToGrid w:val="0"/>
        <w:spacing w:line="560" w:lineRule="exact"/>
        <w:ind w:right="-333" w:rightChars="-104" w:firstLine="640" w:firstLineChars="200"/>
        <w:textAlignment w:val="auto"/>
        <w:outlineLvl w:val="9"/>
        <w:rPr>
          <w:rFonts w:hint="eastAsia" w:ascii="仿宋" w:hAnsi="仿宋" w:eastAsia="仿宋" w:cs="仿宋"/>
          <w:szCs w:val="32"/>
        </w:rPr>
      </w:pPr>
      <w:r>
        <w:rPr>
          <w:rFonts w:hint="eastAsia" w:ascii="仿宋" w:hAnsi="仿宋" w:eastAsia="仿宋" w:cs="仿宋"/>
          <w:szCs w:val="32"/>
          <w:lang w:eastAsia="zh-CN"/>
        </w:rPr>
        <w:t>（</w:t>
      </w:r>
      <w:r>
        <w:rPr>
          <w:rFonts w:hint="eastAsia" w:ascii="仿宋" w:hAnsi="仿宋" w:eastAsia="仿宋" w:cs="仿宋"/>
          <w:szCs w:val="32"/>
          <w:lang w:val="en-US" w:eastAsia="zh-CN"/>
        </w:rPr>
        <w:t>十</w:t>
      </w:r>
      <w:r>
        <w:rPr>
          <w:rFonts w:hint="eastAsia" w:ascii="仿宋" w:hAnsi="仿宋" w:eastAsia="仿宋" w:cs="仿宋"/>
          <w:szCs w:val="32"/>
          <w:lang w:eastAsia="zh-CN"/>
        </w:rPr>
        <w:t>）</w:t>
      </w:r>
      <w:r>
        <w:rPr>
          <w:rFonts w:hint="eastAsia" w:ascii="仿宋" w:hAnsi="仿宋" w:eastAsia="仿宋" w:cs="仿宋"/>
          <w:szCs w:val="32"/>
        </w:rPr>
        <w:t>项目支出：指在基本支出之外为完成特定行政任务和事业发展目标所发生的支出。</w:t>
      </w:r>
    </w:p>
    <w:p>
      <w:pPr>
        <w:adjustRightInd w:val="0"/>
        <w:snapToGrid w:val="0"/>
        <w:spacing w:line="560" w:lineRule="exact"/>
        <w:ind w:right="-333" w:rightChars="-104" w:firstLine="883" w:firstLineChars="200"/>
        <w:outlineLvl w:val="0"/>
        <w:rPr>
          <w:rFonts w:hint="eastAsia"/>
          <w:b/>
          <w:bCs/>
          <w:sz w:val="44"/>
          <w:szCs w:val="44"/>
        </w:rPr>
      </w:pPr>
      <w:r>
        <w:rPr>
          <w:rFonts w:hint="eastAsia"/>
          <w:b/>
          <w:bCs/>
          <w:sz w:val="44"/>
          <w:szCs w:val="44"/>
        </w:rPr>
        <w:t>第四部分：</w:t>
      </w:r>
      <w:r>
        <w:rPr>
          <w:rFonts w:hint="eastAsia"/>
          <w:b/>
          <w:bCs/>
          <w:sz w:val="44"/>
          <w:szCs w:val="44"/>
          <w:lang w:eastAsia="zh-CN"/>
        </w:rPr>
        <w:t>自治区</w:t>
      </w:r>
      <w:r>
        <w:rPr>
          <w:rFonts w:hint="eastAsia"/>
          <w:b/>
          <w:bCs/>
          <w:sz w:val="44"/>
          <w:szCs w:val="44"/>
          <w:lang w:val="en-US" w:eastAsia="zh-CN"/>
        </w:rPr>
        <w:t>资源公路养护</w:t>
      </w:r>
      <w:r>
        <w:rPr>
          <w:rFonts w:hint="eastAsia"/>
          <w:b/>
          <w:bCs/>
          <w:sz w:val="44"/>
          <w:szCs w:val="44"/>
          <w:lang w:eastAsia="zh-CN"/>
        </w:rPr>
        <w:t>中心</w:t>
      </w:r>
      <w:r>
        <w:rPr>
          <w:rFonts w:hint="eastAsia"/>
          <w:b/>
          <w:bCs/>
          <w:sz w:val="44"/>
          <w:szCs w:val="44"/>
        </w:rPr>
        <w:t>202</w:t>
      </w:r>
      <w:r>
        <w:rPr>
          <w:rFonts w:hint="eastAsia"/>
          <w:b/>
          <w:bCs/>
          <w:sz w:val="44"/>
          <w:szCs w:val="44"/>
          <w:lang w:val="en-US" w:eastAsia="zh-CN"/>
        </w:rPr>
        <w:t>6</w:t>
      </w:r>
      <w:r>
        <w:rPr>
          <w:rFonts w:hint="eastAsia"/>
          <w:b/>
          <w:bCs/>
          <w:sz w:val="44"/>
          <w:szCs w:val="44"/>
        </w:rPr>
        <w:t>年预算公开报表</w:t>
      </w:r>
    </w:p>
    <w:p>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right="-333" w:rightChars="-104" w:firstLine="960" w:firstLineChars="300"/>
        <w:textAlignment w:val="auto"/>
        <w:outlineLvl w:val="9"/>
        <w:rPr>
          <w:rFonts w:hint="eastAsia" w:ascii="仿宋" w:hAnsi="仿宋" w:eastAsia="仿宋" w:cs="仿宋"/>
          <w:b w:val="0"/>
          <w:bCs/>
        </w:rPr>
      </w:pPr>
      <w:r>
        <w:rPr>
          <w:rFonts w:hint="eastAsia" w:ascii="仿宋" w:hAnsi="仿宋" w:eastAsia="仿宋" w:cs="仿宋"/>
          <w:b w:val="0"/>
          <w:bCs/>
          <w:lang w:val="en-US" w:eastAsia="zh-CN"/>
        </w:rPr>
        <w:t>一、</w:t>
      </w:r>
      <w:r>
        <w:rPr>
          <w:rFonts w:hint="eastAsia" w:ascii="仿宋" w:hAnsi="仿宋" w:eastAsia="仿宋" w:cs="仿宋"/>
          <w:b w:val="0"/>
          <w:bCs/>
          <w:lang w:eastAsia="zh-CN"/>
        </w:rPr>
        <w:t>单位</w:t>
      </w:r>
      <w:r>
        <w:rPr>
          <w:rFonts w:hint="eastAsia" w:ascii="仿宋" w:hAnsi="仿宋" w:eastAsia="仿宋" w:cs="仿宋"/>
          <w:b w:val="0"/>
          <w:bCs/>
        </w:rPr>
        <w:t>收支总体情况表（预算公开01表）</w:t>
      </w:r>
    </w:p>
    <w:p>
      <w:pPr>
        <w:keepNext w:val="0"/>
        <w:keepLines w:val="0"/>
        <w:pageBreakBefore w:val="0"/>
        <w:widowControl w:val="0"/>
        <w:kinsoku/>
        <w:wordWrap/>
        <w:overflowPunct/>
        <w:topLinePunct w:val="0"/>
        <w:autoSpaceDE/>
        <w:autoSpaceDN/>
        <w:bidi w:val="0"/>
        <w:adjustRightInd w:val="0"/>
        <w:snapToGrid w:val="0"/>
        <w:spacing w:line="560" w:lineRule="exact"/>
        <w:ind w:right="-333" w:rightChars="-104" w:firstLine="960" w:firstLineChars="300"/>
        <w:textAlignment w:val="auto"/>
        <w:outlineLvl w:val="9"/>
        <w:rPr>
          <w:rFonts w:hint="eastAsia" w:ascii="仿宋" w:hAnsi="仿宋" w:eastAsia="仿宋" w:cs="仿宋"/>
          <w:b w:val="0"/>
          <w:bCs/>
        </w:rPr>
      </w:pPr>
      <w:r>
        <w:rPr>
          <w:rFonts w:hint="eastAsia" w:ascii="仿宋" w:hAnsi="仿宋" w:eastAsia="仿宋" w:cs="仿宋"/>
          <w:b w:val="0"/>
          <w:bCs/>
        </w:rPr>
        <w:t>二、</w:t>
      </w:r>
      <w:r>
        <w:rPr>
          <w:rFonts w:hint="eastAsia" w:ascii="仿宋" w:hAnsi="仿宋" w:eastAsia="仿宋" w:cs="仿宋"/>
          <w:b w:val="0"/>
          <w:bCs/>
          <w:lang w:eastAsia="zh-CN"/>
        </w:rPr>
        <w:t>单位</w:t>
      </w:r>
      <w:r>
        <w:rPr>
          <w:rFonts w:hint="eastAsia" w:ascii="仿宋" w:hAnsi="仿宋" w:eastAsia="仿宋" w:cs="仿宋"/>
          <w:b w:val="0"/>
          <w:bCs/>
        </w:rPr>
        <w:t>收入总体情况表（预算公开02表）</w:t>
      </w:r>
    </w:p>
    <w:p>
      <w:pPr>
        <w:keepNext w:val="0"/>
        <w:keepLines w:val="0"/>
        <w:pageBreakBefore w:val="0"/>
        <w:widowControl w:val="0"/>
        <w:kinsoku/>
        <w:wordWrap/>
        <w:overflowPunct/>
        <w:topLinePunct w:val="0"/>
        <w:autoSpaceDE/>
        <w:autoSpaceDN/>
        <w:bidi w:val="0"/>
        <w:adjustRightInd w:val="0"/>
        <w:snapToGrid w:val="0"/>
        <w:spacing w:line="560" w:lineRule="exact"/>
        <w:ind w:right="-333" w:rightChars="-104" w:firstLine="960" w:firstLineChars="300"/>
        <w:textAlignment w:val="auto"/>
        <w:outlineLvl w:val="9"/>
        <w:rPr>
          <w:rFonts w:hint="eastAsia" w:ascii="仿宋" w:hAnsi="仿宋" w:eastAsia="仿宋" w:cs="仿宋"/>
          <w:b w:val="0"/>
          <w:bCs/>
        </w:rPr>
      </w:pPr>
      <w:r>
        <w:rPr>
          <w:rFonts w:hint="eastAsia" w:ascii="仿宋" w:hAnsi="仿宋" w:eastAsia="仿宋" w:cs="仿宋"/>
          <w:b w:val="0"/>
          <w:bCs/>
        </w:rPr>
        <w:t>三、</w:t>
      </w:r>
      <w:r>
        <w:rPr>
          <w:rFonts w:hint="eastAsia" w:ascii="仿宋" w:hAnsi="仿宋" w:eastAsia="仿宋" w:cs="仿宋"/>
          <w:b w:val="0"/>
          <w:bCs/>
          <w:lang w:eastAsia="zh-CN"/>
        </w:rPr>
        <w:t>单位</w:t>
      </w:r>
      <w:r>
        <w:rPr>
          <w:rFonts w:hint="eastAsia" w:ascii="仿宋" w:hAnsi="仿宋" w:eastAsia="仿宋" w:cs="仿宋"/>
          <w:b w:val="0"/>
          <w:bCs/>
        </w:rPr>
        <w:t>支出总体情况表（预算公开03表）</w:t>
      </w:r>
    </w:p>
    <w:p>
      <w:pPr>
        <w:keepNext w:val="0"/>
        <w:keepLines w:val="0"/>
        <w:pageBreakBefore w:val="0"/>
        <w:widowControl w:val="0"/>
        <w:numPr>
          <w:ilvl w:val="0"/>
          <w:numId w:val="1"/>
        </w:numPr>
        <w:kinsoku/>
        <w:wordWrap/>
        <w:overflowPunct/>
        <w:topLinePunct w:val="0"/>
        <w:autoSpaceDE/>
        <w:autoSpaceDN/>
        <w:bidi w:val="0"/>
        <w:adjustRightInd w:val="0"/>
        <w:snapToGrid w:val="0"/>
        <w:spacing w:line="560" w:lineRule="exact"/>
        <w:ind w:right="-333" w:rightChars="-104" w:firstLine="960" w:firstLineChars="300"/>
        <w:textAlignment w:val="auto"/>
        <w:outlineLvl w:val="9"/>
        <w:rPr>
          <w:rFonts w:hint="eastAsia" w:ascii="仿宋" w:hAnsi="仿宋" w:eastAsia="仿宋" w:cs="仿宋"/>
          <w:b w:val="0"/>
          <w:bCs/>
        </w:rPr>
      </w:pPr>
      <w:r>
        <w:rPr>
          <w:rFonts w:hint="eastAsia" w:ascii="仿宋" w:hAnsi="仿宋" w:eastAsia="仿宋" w:cs="仿宋"/>
          <w:b w:val="0"/>
          <w:bCs/>
        </w:rPr>
        <w:t>财政拨款收支总体情况表（预算公开04表）</w:t>
      </w:r>
    </w:p>
    <w:p>
      <w:pPr>
        <w:keepNext w:val="0"/>
        <w:keepLines w:val="0"/>
        <w:pageBreakBefore w:val="0"/>
        <w:widowControl w:val="0"/>
        <w:numPr>
          <w:ilvl w:val="0"/>
          <w:numId w:val="2"/>
        </w:numPr>
        <w:kinsoku/>
        <w:wordWrap/>
        <w:overflowPunct/>
        <w:topLinePunct w:val="0"/>
        <w:autoSpaceDE/>
        <w:autoSpaceDN/>
        <w:bidi w:val="0"/>
        <w:adjustRightInd w:val="0"/>
        <w:snapToGrid w:val="0"/>
        <w:spacing w:line="560" w:lineRule="exact"/>
        <w:ind w:right="-333" w:rightChars="-104" w:firstLine="960" w:firstLineChars="300"/>
        <w:textAlignment w:val="auto"/>
        <w:outlineLvl w:val="9"/>
        <w:rPr>
          <w:rFonts w:hint="eastAsia" w:ascii="仿宋" w:hAnsi="仿宋" w:eastAsia="仿宋" w:cs="仿宋"/>
          <w:b w:val="0"/>
          <w:bCs/>
        </w:rPr>
      </w:pPr>
      <w:r>
        <w:rPr>
          <w:rFonts w:hint="eastAsia" w:ascii="仿宋" w:hAnsi="仿宋" w:eastAsia="仿宋" w:cs="仿宋"/>
          <w:b w:val="0"/>
          <w:bCs/>
        </w:rPr>
        <w:t>一般公共预算支出情况表（预算公开05表）</w:t>
      </w:r>
    </w:p>
    <w:p>
      <w:pPr>
        <w:keepNext w:val="0"/>
        <w:keepLines w:val="0"/>
        <w:pageBreakBefore w:val="0"/>
        <w:widowControl w:val="0"/>
        <w:numPr>
          <w:ilvl w:val="0"/>
          <w:numId w:val="3"/>
        </w:numPr>
        <w:kinsoku/>
        <w:wordWrap/>
        <w:overflowPunct/>
        <w:topLinePunct w:val="0"/>
        <w:autoSpaceDE/>
        <w:autoSpaceDN/>
        <w:bidi w:val="0"/>
        <w:adjustRightInd w:val="0"/>
        <w:snapToGrid w:val="0"/>
        <w:spacing w:line="560" w:lineRule="exact"/>
        <w:ind w:right="-333" w:rightChars="-104" w:firstLine="960" w:firstLineChars="300"/>
        <w:textAlignment w:val="auto"/>
        <w:outlineLvl w:val="9"/>
        <w:rPr>
          <w:rFonts w:hint="eastAsia" w:ascii="仿宋" w:hAnsi="仿宋" w:eastAsia="仿宋" w:cs="仿宋"/>
          <w:b w:val="0"/>
          <w:bCs/>
        </w:rPr>
      </w:pPr>
      <w:r>
        <w:rPr>
          <w:rFonts w:hint="eastAsia" w:ascii="仿宋" w:hAnsi="仿宋" w:eastAsia="仿宋" w:cs="仿宋"/>
          <w:b w:val="0"/>
          <w:bCs/>
        </w:rPr>
        <w:t>一般公共预算基本支出情况表（预算公开06表）</w:t>
      </w:r>
    </w:p>
    <w:p>
      <w:pPr>
        <w:keepNext w:val="0"/>
        <w:keepLines w:val="0"/>
        <w:pageBreakBefore w:val="0"/>
        <w:widowControl w:val="0"/>
        <w:numPr>
          <w:ilvl w:val="0"/>
          <w:numId w:val="3"/>
        </w:numPr>
        <w:kinsoku/>
        <w:wordWrap/>
        <w:overflowPunct/>
        <w:topLinePunct w:val="0"/>
        <w:autoSpaceDE/>
        <w:autoSpaceDN/>
        <w:bidi w:val="0"/>
        <w:adjustRightInd w:val="0"/>
        <w:snapToGrid w:val="0"/>
        <w:spacing w:line="560" w:lineRule="exact"/>
        <w:ind w:right="-333" w:rightChars="-104" w:firstLine="960" w:firstLineChars="300"/>
        <w:textAlignment w:val="auto"/>
        <w:outlineLvl w:val="9"/>
        <w:rPr>
          <w:rFonts w:hint="eastAsia" w:ascii="仿宋" w:hAnsi="仿宋" w:eastAsia="仿宋" w:cs="仿宋"/>
          <w:b w:val="0"/>
          <w:bCs/>
        </w:rPr>
      </w:pPr>
      <w:r>
        <w:rPr>
          <w:rFonts w:hint="eastAsia" w:ascii="仿宋" w:hAnsi="仿宋" w:eastAsia="仿宋" w:cs="仿宋"/>
          <w:b w:val="0"/>
          <w:bCs/>
        </w:rPr>
        <w:t>财政拨款“三公”经费、会议费和培训费支出情况表（预算公开07表）</w:t>
      </w:r>
    </w:p>
    <w:p>
      <w:pPr>
        <w:keepNext w:val="0"/>
        <w:keepLines w:val="0"/>
        <w:pageBreakBefore w:val="0"/>
        <w:widowControl w:val="0"/>
        <w:numPr>
          <w:ilvl w:val="0"/>
          <w:numId w:val="4"/>
        </w:numPr>
        <w:kinsoku/>
        <w:wordWrap/>
        <w:overflowPunct/>
        <w:topLinePunct w:val="0"/>
        <w:autoSpaceDE/>
        <w:autoSpaceDN/>
        <w:bidi w:val="0"/>
        <w:adjustRightInd w:val="0"/>
        <w:snapToGrid w:val="0"/>
        <w:spacing w:line="560" w:lineRule="exact"/>
        <w:ind w:right="-333" w:rightChars="-104" w:firstLine="960" w:firstLineChars="300"/>
        <w:textAlignment w:val="auto"/>
        <w:outlineLvl w:val="9"/>
        <w:rPr>
          <w:rFonts w:hint="eastAsia" w:ascii="仿宋" w:hAnsi="仿宋" w:eastAsia="仿宋" w:cs="仿宋"/>
          <w:b w:val="0"/>
          <w:bCs/>
        </w:rPr>
      </w:pPr>
      <w:r>
        <w:rPr>
          <w:rFonts w:hint="eastAsia" w:ascii="仿宋" w:hAnsi="仿宋" w:eastAsia="仿宋" w:cs="仿宋"/>
          <w:b w:val="0"/>
          <w:bCs/>
        </w:rPr>
        <w:t>政府性基金预算支出情况表（预算公开08表）</w:t>
      </w:r>
    </w:p>
    <w:p>
      <w:pPr>
        <w:keepNext w:val="0"/>
        <w:keepLines w:val="0"/>
        <w:pageBreakBefore w:val="0"/>
        <w:widowControl w:val="0"/>
        <w:numPr>
          <w:ilvl w:val="0"/>
          <w:numId w:val="5"/>
        </w:numPr>
        <w:kinsoku/>
        <w:wordWrap/>
        <w:overflowPunct/>
        <w:topLinePunct w:val="0"/>
        <w:autoSpaceDE/>
        <w:autoSpaceDN/>
        <w:bidi w:val="0"/>
        <w:adjustRightInd w:val="0"/>
        <w:snapToGrid w:val="0"/>
        <w:spacing w:line="560" w:lineRule="exact"/>
        <w:ind w:right="-333" w:rightChars="-104" w:firstLine="960" w:firstLineChars="300"/>
        <w:textAlignment w:val="auto"/>
        <w:outlineLvl w:val="9"/>
        <w:rPr>
          <w:rFonts w:hint="eastAsia" w:ascii="仿宋" w:hAnsi="仿宋" w:eastAsia="仿宋" w:cs="仿宋"/>
          <w:b w:val="0"/>
          <w:bCs/>
        </w:rPr>
      </w:pPr>
      <w:r>
        <w:rPr>
          <w:rFonts w:hint="eastAsia" w:ascii="仿宋" w:hAnsi="仿宋" w:eastAsia="仿宋" w:cs="仿宋"/>
          <w:b w:val="0"/>
          <w:bCs/>
        </w:rPr>
        <w:t>国有资本经营预算支出情况表（预算公开09表）</w:t>
      </w:r>
    </w:p>
    <w:p>
      <w:pPr>
        <w:keepNext w:val="0"/>
        <w:keepLines w:val="0"/>
        <w:pageBreakBefore w:val="0"/>
        <w:widowControl w:val="0"/>
        <w:numPr>
          <w:ilvl w:val="0"/>
          <w:numId w:val="6"/>
        </w:numPr>
        <w:kinsoku/>
        <w:wordWrap/>
        <w:overflowPunct/>
        <w:topLinePunct w:val="0"/>
        <w:autoSpaceDE/>
        <w:autoSpaceDN/>
        <w:bidi w:val="0"/>
        <w:adjustRightInd w:val="0"/>
        <w:snapToGrid w:val="0"/>
        <w:spacing w:line="560" w:lineRule="exact"/>
        <w:ind w:right="-333" w:rightChars="-104" w:firstLine="960" w:firstLineChars="300"/>
        <w:textAlignment w:val="auto"/>
        <w:outlineLvl w:val="9"/>
        <w:rPr>
          <w:rFonts w:hint="eastAsia" w:ascii="仿宋" w:hAnsi="仿宋" w:eastAsia="仿宋" w:cs="仿宋"/>
          <w:b w:val="0"/>
          <w:bCs/>
        </w:rPr>
      </w:pPr>
      <w:r>
        <w:rPr>
          <w:rFonts w:hint="eastAsia" w:ascii="仿宋" w:hAnsi="仿宋" w:eastAsia="仿宋" w:cs="仿宋"/>
          <w:b w:val="0"/>
          <w:bCs/>
        </w:rPr>
        <w:t>自治区本级项目绩效目标公开表（预算公开10表）</w:t>
      </w:r>
    </w:p>
    <w:p>
      <w:pPr>
        <w:keepNext w:val="0"/>
        <w:keepLines w:val="0"/>
        <w:pageBreakBefore w:val="0"/>
        <w:widowControl w:val="0"/>
        <w:kinsoku/>
        <w:wordWrap/>
        <w:overflowPunct/>
        <w:topLinePunct w:val="0"/>
        <w:autoSpaceDE/>
        <w:autoSpaceDN/>
        <w:bidi w:val="0"/>
        <w:adjustRightInd w:val="0"/>
        <w:snapToGrid w:val="0"/>
        <w:spacing w:line="560" w:lineRule="exact"/>
        <w:ind w:right="-333" w:rightChars="-104" w:firstLine="960" w:firstLineChars="300"/>
        <w:textAlignment w:val="auto"/>
        <w:outlineLvl w:val="9"/>
        <w:rPr>
          <w:rFonts w:hint="eastAsia" w:ascii="仿宋" w:hAnsi="仿宋" w:eastAsia="仿宋" w:cs="仿宋"/>
          <w:b w:val="0"/>
          <w:bCs/>
        </w:rPr>
      </w:pPr>
      <w:r>
        <w:rPr>
          <w:rFonts w:hint="eastAsia" w:ascii="仿宋" w:hAnsi="仿宋" w:eastAsia="仿宋" w:cs="仿宋"/>
          <w:b w:val="0"/>
          <w:bCs/>
        </w:rPr>
        <w:t>十一、自治区对下转移支付项目绩效目标公开表（预算公开11表）</w:t>
      </w:r>
    </w:p>
    <w:p>
      <w:pPr>
        <w:keepNext w:val="0"/>
        <w:keepLines w:val="0"/>
        <w:pageBreakBefore w:val="0"/>
        <w:widowControl w:val="0"/>
        <w:kinsoku/>
        <w:wordWrap/>
        <w:overflowPunct/>
        <w:topLinePunct w:val="0"/>
        <w:autoSpaceDE/>
        <w:autoSpaceDN/>
        <w:bidi w:val="0"/>
        <w:adjustRightInd w:val="0"/>
        <w:snapToGrid w:val="0"/>
        <w:spacing w:line="560" w:lineRule="exact"/>
        <w:ind w:right="-333" w:rightChars="-104" w:firstLine="640" w:firstLineChars="200"/>
        <w:textAlignment w:val="auto"/>
        <w:outlineLvl w:val="9"/>
        <w:rPr>
          <w:rFonts w:hint="eastAsia" w:ascii="仿宋" w:hAnsi="仿宋" w:eastAsia="仿宋" w:cs="仿宋"/>
          <w:szCs w:val="32"/>
          <w:lang w:eastAsia="zh-CN"/>
        </w:rPr>
      </w:pPr>
      <w:r>
        <w:rPr>
          <w:rFonts w:hint="eastAsia" w:ascii="仿宋" w:hAnsi="仿宋" w:eastAsia="仿宋" w:cs="仿宋"/>
          <w:szCs w:val="32"/>
        </w:rPr>
        <w:t>上述报表详见附件</w:t>
      </w:r>
      <w:r>
        <w:rPr>
          <w:rFonts w:hint="eastAsia" w:ascii="仿宋" w:hAnsi="仿宋" w:eastAsia="仿宋" w:cs="仿宋"/>
          <w:szCs w:val="32"/>
          <w:lang w:eastAsia="zh-CN"/>
        </w:rPr>
        <w:t>。</w:t>
      </w:r>
    </w:p>
    <w:sectPr>
      <w:footerReference r:id="rId3" w:type="default"/>
      <w:footerReference r:id="rId4" w:type="even"/>
      <w:pgSz w:w="11906" w:h="16838"/>
      <w:pgMar w:top="2098" w:right="1417" w:bottom="1984" w:left="1587" w:header="851" w:footer="992" w:gutter="0"/>
      <w:pgNumType w:fmt="numberInDash" w:start="1"/>
      <w:cols w:space="720" w:num="1"/>
      <w:docGrid w:linePitch="634" w:charSpace="-2109"/>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方正书宋_GBK"/>
    <w:panose1 w:val="02010600030101010101"/>
    <w:charset w:val="0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2000609000000000000"/>
    <w:charset w:val="02"/>
    <w:family w:val="roman"/>
    <w:pitch w:val="default"/>
    <w:sig w:usb0="800000AF" w:usb1="4000204A" w:usb2="00000000" w:usb3="00000000" w:csb0="20000000" w:csb1="00000000"/>
  </w:font>
  <w:font w:name="Calibri">
    <w:altName w:val="DejaVu Sans"/>
    <w:panose1 w:val="020F0502020204030204"/>
    <w:charset w:val="00"/>
    <w:family w:val="swiss"/>
    <w:pitch w:val="default"/>
    <w:sig w:usb0="00000000" w:usb1="00000000" w:usb2="00000001" w:usb3="00000000" w:csb0="0000019F" w:csb1="00000000"/>
  </w:font>
  <w:font w:name="仿宋_GB2312">
    <w:altName w:val="方正仿宋_GBK"/>
    <w:panose1 w:val="02010609030101010101"/>
    <w:charset w:val="00"/>
    <w:family w:val="modern"/>
    <w:pitch w:val="default"/>
    <w:sig w:usb0="00000001" w:usb1="080E0000" w:usb2="00000000" w:usb3="00000000" w:csb0="00040000" w:csb1="00000000"/>
  </w:font>
  <w:font w:name="Arial">
    <w:altName w:val="DejaVu Sans"/>
    <w:panose1 w:val="020B0604020202020204"/>
    <w:charset w:val="00"/>
    <w:family w:val="swiss"/>
    <w:pitch w:val="default"/>
    <w:sig w:usb0="E0002EFF" w:usb1="C000785B" w:usb2="00000009" w:usb3="00000000" w:csb0="400001FF" w:csb1="FFFF0000"/>
  </w:font>
  <w:font w:name="黑体">
    <w:altName w:val="方正黑体_GBK"/>
    <w:panose1 w:val="02010609060101010101"/>
    <w:charset w:val="00"/>
    <w:family w:val="auto"/>
    <w:pitch w:val="default"/>
    <w:sig w:usb0="800002BF" w:usb1="38CF7CFA" w:usb2="00000016" w:usb3="00000000" w:csb0="00040001" w:csb1="00000000"/>
  </w:font>
  <w:font w:name="Courier New">
    <w:altName w:val="DejaVu Sans"/>
    <w:panose1 w:val="02070309020205020404"/>
    <w:charset w:val="00"/>
    <w:family w:val="modern"/>
    <w:pitch w:val="default"/>
    <w:sig w:usb0="E0002EFF" w:usb1="C0007843" w:usb2="00000009" w:usb3="00000000" w:csb0="400001FF" w:csb1="FFFF0000"/>
  </w:font>
  <w:font w:name="方正小标宋简体">
    <w:panose1 w:val="02000000000000000000"/>
    <w:charset w:val="86"/>
    <w:family w:val="auto"/>
    <w:pitch w:val="default"/>
    <w:sig w:usb0="A00002BF" w:usb1="184F6CFA" w:usb2="00000012" w:usb3="00000000" w:csb0="00040001" w:csb1="00000000"/>
  </w:font>
  <w:font w:name="仿宋">
    <w:altName w:val="方正仿宋_GBK"/>
    <w:panose1 w:val="02010609060101010101"/>
    <w:charset w:val="00"/>
    <w:family w:val="auto"/>
    <w:pitch w:val="default"/>
    <w:sig w:usb0="800002BF" w:usb1="38CF7CFA" w:usb2="00000016" w:usb3="00000000" w:csb0="00040001" w:csb1="00000000"/>
  </w:font>
  <w:font w:name="CESI仿宋-GB13000">
    <w:panose1 w:val="02000500000000000000"/>
    <w:charset w:val="86"/>
    <w:family w:val="auto"/>
    <w:pitch w:val="default"/>
    <w:sig w:usb0="800002BF" w:usb1="18CF7CF8" w:usb2="00000016" w:usb3="00000000" w:csb0="0004000F" w:csb1="00000000"/>
  </w:font>
  <w:font w:name="方正书宋_GBK">
    <w:panose1 w:val="02000000000000000000"/>
    <w:charset w:val="86"/>
    <w:family w:val="auto"/>
    <w:pitch w:val="default"/>
    <w:sig w:usb0="00000001" w:usb1="08000000" w:usb2="00000000" w:usb3="00000000" w:csb0="00040000" w:csb1="00000000"/>
  </w:font>
  <w:font w:name="DejaVu Sans">
    <w:panose1 w:val="020B0603030804020204"/>
    <w:charset w:val="00"/>
    <w:family w:val="auto"/>
    <w:pitch w:val="default"/>
    <w:sig w:usb0="E7006EFF" w:usb1="D200FDFF" w:usb2="0A246029" w:usb3="0400200C" w:csb0="600001FF" w:csb1="DFFF0000"/>
  </w:font>
  <w:font w:name="方正黑体_GBK">
    <w:panose1 w:val="02000000000000000000"/>
    <w:charset w:val="86"/>
    <w:family w:val="auto"/>
    <w:pitch w:val="default"/>
    <w:sig w:usb0="00000001" w:usb1="08000000" w:usb2="00000000" w:usb3="00000000" w:csb0="00040000" w:csb1="00000000"/>
  </w:font>
  <w:font w:name="方正仿宋_GBK">
    <w:panose1 w:val="02000000000000000000"/>
    <w:charset w:val="86"/>
    <w:family w:val="auto"/>
    <w:pitch w:val="default"/>
    <w:sig w:usb0="00000001" w:usb1="08000000" w:usb2="00000000" w:usb3="00000000" w:csb0="00040000" w:csb1="00000000"/>
  </w:font>
  <w:font w:name="Microsoft YaHei">
    <w:altName w:val="方正黑体_GBK"/>
    <w:panose1 w:val="00000000000000000000"/>
    <w:charset w:val="00"/>
    <w:family w:val="auto"/>
    <w:pitch w:val="default"/>
    <w:sig w:usb0="00000000" w:usb1="00000000" w:usb2="00000000" w:usb3="00000000" w:csb0="00000000" w:csb1="00000000"/>
  </w:font>
  <w:font w:name="Tahoma">
    <w:altName w:val="DejaVu Sans"/>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pPr>
    <w:r>
      <mc:AlternateContent>
        <mc:Choice Requires="wps">
          <w:drawing>
            <wp:anchor distT="0" distB="0" distL="114300" distR="114300" simplePos="0" relativeHeight="251658240"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true"/>
                    <wps:spPr>
                      <a:xfrm>
                        <a:off x="0" y="0"/>
                        <a:ext cx="1828800" cy="1828800"/>
                      </a:xfrm>
                      <a:prstGeom prst="rect">
                        <a:avLst/>
                      </a:prstGeom>
                      <a:noFill/>
                      <a:ln>
                        <a:noFill/>
                      </a:ln>
                    </wps:spPr>
                    <wps:txbx>
                      <w:txbxContent>
                        <w:p>
                          <w:pPr>
                            <w:pStyle w:val="8"/>
                            <w:rPr>
                              <w:rStyle w:val="14"/>
                              <w:rFonts w:hint="eastAsia" w:ascii="宋体" w:hAnsi="宋体" w:cs="宋体"/>
                              <w:sz w:val="28"/>
                              <w:szCs w:val="28"/>
                            </w:rPr>
                          </w:pPr>
                          <w:r>
                            <w:rPr>
                              <w:rStyle w:val="14"/>
                              <w:rFonts w:hint="eastAsia" w:ascii="宋体" w:hAnsi="宋体" w:cs="宋体"/>
                              <w:sz w:val="28"/>
                              <w:szCs w:val="28"/>
                            </w:rPr>
                            <w:fldChar w:fldCharType="begin"/>
                          </w:r>
                          <w:r>
                            <w:rPr>
                              <w:rStyle w:val="14"/>
                              <w:rFonts w:hint="eastAsia" w:ascii="宋体" w:hAnsi="宋体" w:cs="宋体"/>
                              <w:sz w:val="28"/>
                              <w:szCs w:val="28"/>
                            </w:rPr>
                            <w:instrText xml:space="preserve"> PAGE  \* MERGEFORMAT </w:instrText>
                          </w:r>
                          <w:r>
                            <w:rPr>
                              <w:rStyle w:val="14"/>
                              <w:rFonts w:hint="eastAsia" w:ascii="宋体" w:hAnsi="宋体" w:cs="宋体"/>
                              <w:sz w:val="28"/>
                              <w:szCs w:val="28"/>
                            </w:rPr>
                            <w:fldChar w:fldCharType="separate"/>
                          </w:r>
                          <w:r>
                            <w:rPr>
                              <w:rStyle w:val="14"/>
                              <w:rFonts w:hint="eastAsia" w:ascii="宋体" w:hAnsi="宋体" w:cs="宋体"/>
                              <w:sz w:val="28"/>
                              <w:szCs w:val="28"/>
                            </w:rPr>
                            <w:t>1</w:t>
                          </w:r>
                          <w:r>
                            <w:rPr>
                              <w:rStyle w:val="14"/>
                              <w:rFonts w:hint="eastAsia" w:ascii="宋体" w:hAnsi="宋体" w:cs="宋体"/>
                              <w:sz w:val="28"/>
                              <w:szCs w:val="28"/>
                            </w:rPr>
                            <w:fldChar w:fldCharType="end"/>
                          </w:r>
                        </w:p>
                      </w:txbxContent>
                    </wps:txbx>
                    <wps:bodyPr vert="horz" wrap="none" lIns="0" tIns="0" rIns="0" bIns="0" anchor="t" anchorCtr="false" upright="true">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58240;mso-width-relative:page;mso-height-relative:page;" filled="f" stroked="f" coordsize="21600,21600" o:gfxdata="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">
              <v:fill on="f" focussize="0,0"/>
              <v:stroke on="f"/>
              <v:imagedata o:title=""/>
              <o:lock v:ext="edit" aspectratio="f"/>
              <v:textbox inset="0mm,0mm,0mm,0mm" style="mso-fit-shape-to-text:t;">
                <w:txbxContent>
                  <w:p>
                    <w:pPr>
                      <w:pStyle w:val="8"/>
                      <w:rPr>
                        <w:rStyle w:val="14"/>
                        <w:rFonts w:hint="eastAsia" w:ascii="宋体" w:hAnsi="宋体" w:cs="宋体"/>
                        <w:sz w:val="28"/>
                        <w:szCs w:val="28"/>
                      </w:rPr>
                    </w:pPr>
                    <w:r>
                      <w:rPr>
                        <w:rStyle w:val="14"/>
                        <w:rFonts w:hint="eastAsia" w:ascii="宋体" w:hAnsi="宋体" w:cs="宋体"/>
                        <w:sz w:val="28"/>
                        <w:szCs w:val="28"/>
                      </w:rPr>
                      <w:fldChar w:fldCharType="begin"/>
                    </w:r>
                    <w:r>
                      <w:rPr>
                        <w:rStyle w:val="14"/>
                        <w:rFonts w:hint="eastAsia" w:ascii="宋体" w:hAnsi="宋体" w:cs="宋体"/>
                        <w:sz w:val="28"/>
                        <w:szCs w:val="28"/>
                      </w:rPr>
                      <w:instrText xml:space="preserve"> PAGE  \* MERGEFORMAT </w:instrText>
                    </w:r>
                    <w:r>
                      <w:rPr>
                        <w:rStyle w:val="14"/>
                        <w:rFonts w:hint="eastAsia" w:ascii="宋体" w:hAnsi="宋体" w:cs="宋体"/>
                        <w:sz w:val="28"/>
                        <w:szCs w:val="28"/>
                      </w:rPr>
                      <w:fldChar w:fldCharType="separate"/>
                    </w:r>
                    <w:r>
                      <w:rPr>
                        <w:rStyle w:val="14"/>
                        <w:rFonts w:hint="eastAsia" w:ascii="宋体" w:hAnsi="宋体" w:cs="宋体"/>
                        <w:sz w:val="28"/>
                        <w:szCs w:val="28"/>
                      </w:rPr>
                      <w:t>1</w:t>
                    </w:r>
                    <w:r>
                      <w:rPr>
                        <w:rStyle w:val="14"/>
                        <w:rFonts w:hint="eastAsia" w:ascii="宋体" w:hAnsi="宋体" w:cs="宋体"/>
                        <w:sz w:val="28"/>
                        <w:szCs w:val="28"/>
                      </w:rP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framePr w:wrap="around" w:vAnchor="text" w:hAnchor="margin" w:xAlign="center" w:y="1"/>
      <w:rPr>
        <w:rStyle w:val="14"/>
      </w:rPr>
    </w:pPr>
    <w:r>
      <w:rPr>
        <w:rStyle w:val="14"/>
      </w:rPr>
      <w:fldChar w:fldCharType="begin"/>
    </w:r>
    <w:r>
      <w:rPr>
        <w:rStyle w:val="14"/>
      </w:rPr>
      <w:instrText xml:space="preserve">PAGE  </w:instrText>
    </w:r>
    <w:r>
      <w:rPr>
        <w:rStyle w:val="14"/>
      </w:rPr>
      <w:fldChar w:fldCharType="end"/>
    </w:r>
  </w:p>
  <w:p>
    <w:pPr>
      <w:pStyle w:val="8"/>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6E1AE0F"/>
    <w:multiLevelType w:val="singleLevel"/>
    <w:tmpl w:val="96E1AE0F"/>
    <w:lvl w:ilvl="0" w:tentative="0">
      <w:start w:val="8"/>
      <w:numFmt w:val="chineseCounting"/>
      <w:suff w:val="nothing"/>
      <w:lvlText w:val="%1、"/>
      <w:lvlJc w:val="left"/>
      <w:rPr>
        <w:rFonts w:hint="eastAsia"/>
      </w:rPr>
    </w:lvl>
  </w:abstractNum>
  <w:abstractNum w:abstractNumId="1">
    <w:nsid w:val="A8BC1457"/>
    <w:multiLevelType w:val="singleLevel"/>
    <w:tmpl w:val="A8BC1457"/>
    <w:lvl w:ilvl="0" w:tentative="0">
      <w:start w:val="9"/>
      <w:numFmt w:val="chineseCounting"/>
      <w:suff w:val="nothing"/>
      <w:lvlText w:val="%1、"/>
      <w:lvlJc w:val="left"/>
      <w:rPr>
        <w:rFonts w:hint="eastAsia"/>
      </w:rPr>
    </w:lvl>
  </w:abstractNum>
  <w:abstractNum w:abstractNumId="2">
    <w:nsid w:val="2F7662B3"/>
    <w:multiLevelType w:val="singleLevel"/>
    <w:tmpl w:val="2F7662B3"/>
    <w:lvl w:ilvl="0" w:tentative="0">
      <w:start w:val="4"/>
      <w:numFmt w:val="chineseCounting"/>
      <w:suff w:val="nothing"/>
      <w:lvlText w:val="%1、"/>
      <w:lvlJc w:val="left"/>
      <w:rPr>
        <w:rFonts w:hint="eastAsia"/>
      </w:rPr>
    </w:lvl>
  </w:abstractNum>
  <w:abstractNum w:abstractNumId="3">
    <w:nsid w:val="613E194A"/>
    <w:multiLevelType w:val="singleLevel"/>
    <w:tmpl w:val="613E194A"/>
    <w:lvl w:ilvl="0" w:tentative="0">
      <w:start w:val="5"/>
      <w:numFmt w:val="chineseCounting"/>
      <w:suff w:val="nothing"/>
      <w:lvlText w:val="%1、"/>
      <w:lvlJc w:val="left"/>
      <w:rPr>
        <w:rFonts w:hint="eastAsia"/>
      </w:rPr>
    </w:lvl>
  </w:abstractNum>
  <w:abstractNum w:abstractNumId="4">
    <w:nsid w:val="757D29F0"/>
    <w:multiLevelType w:val="singleLevel"/>
    <w:tmpl w:val="757D29F0"/>
    <w:lvl w:ilvl="0" w:tentative="0">
      <w:start w:val="6"/>
      <w:numFmt w:val="chineseCounting"/>
      <w:suff w:val="nothing"/>
      <w:lvlText w:val="%1、"/>
      <w:lvlJc w:val="left"/>
      <w:rPr>
        <w:rFonts w:hint="eastAsia"/>
      </w:rPr>
    </w:lvl>
  </w:abstractNum>
  <w:abstractNum w:abstractNumId="5">
    <w:nsid w:val="76675107"/>
    <w:multiLevelType w:val="singleLevel"/>
    <w:tmpl w:val="76675107"/>
    <w:lvl w:ilvl="0" w:tentative="0">
      <w:start w:val="10"/>
      <w:numFmt w:val="chineseCounting"/>
      <w:suff w:val="nothing"/>
      <w:lvlText w:val="%1、"/>
      <w:lvlJc w:val="left"/>
      <w:rPr>
        <w:rFonts w:hint="eastAsia"/>
      </w:rPr>
    </w:lvl>
  </w:abstractNum>
  <w:num w:numId="1">
    <w:abstractNumId w:val="2"/>
  </w:num>
  <w:num w:numId="2">
    <w:abstractNumId w:val="3"/>
  </w:num>
  <w:num w:numId="3">
    <w:abstractNumId w:val="4"/>
  </w:num>
  <w:num w:numId="4">
    <w:abstractNumId w:val="0"/>
  </w:num>
  <w:num w:numId="5">
    <w:abstractNumId w:val="1"/>
  </w:num>
  <w:num w:numId="6">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bordersDoNotSurroundHeader w:val="true"/>
  <w:bordersDoNotSurroundFooter w:val="true"/>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420"/>
  <w:hyphenationZone w:val="360"/>
  <w:drawingGridHorizontalSpacing w:val="155"/>
  <w:drawingGridVerticalSpacing w:val="317"/>
  <w:displayHorizontalDrawingGridEvery w:val="0"/>
  <w:displayVerticalDrawingGridEvery w:val="2"/>
  <w:doNotShadeFormData w:val="true"/>
  <w:characterSpacingControl w:val="compressPunctuation"/>
  <w:doNotValidateAgainstSchema/>
  <w:doNotDemarcateInvalidXml/>
  <w:hdrShapeDefaults>
    <o:shapelayout v:ext="edit">
      <o:idmap v:ext="edit" data="2"/>
    </o:shapelayout>
  </w:hdrShapeDefaults>
  <w:compat>
    <w:spaceForUL/>
    <w:balanceSingleByteDoubleByteWidth/>
    <w:doNotLeaveBackslashAlone/>
    <w:ulTrailSpace/>
    <w:doNotExpandShiftReturn/>
    <w:adjustLineHeightInTable/>
    <w:useFELayout/>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2QzOGFiZTIzNjU4MTExMGM3ZmRiMzlhODg5Y2Q1YWQifQ=="/>
  </w:docVars>
  <w:rsids>
    <w:rsidRoot w:val="00172A27"/>
    <w:rsid w:val="00000EE9"/>
    <w:rsid w:val="000060B9"/>
    <w:rsid w:val="00007E60"/>
    <w:rsid w:val="00010D80"/>
    <w:rsid w:val="00013FC5"/>
    <w:rsid w:val="000148DA"/>
    <w:rsid w:val="00015197"/>
    <w:rsid w:val="000151F8"/>
    <w:rsid w:val="00015373"/>
    <w:rsid w:val="00015844"/>
    <w:rsid w:val="00015A27"/>
    <w:rsid w:val="00015DB6"/>
    <w:rsid w:val="00016F0A"/>
    <w:rsid w:val="0002203E"/>
    <w:rsid w:val="00022683"/>
    <w:rsid w:val="000264A8"/>
    <w:rsid w:val="0002778C"/>
    <w:rsid w:val="00032004"/>
    <w:rsid w:val="0003234C"/>
    <w:rsid w:val="00033636"/>
    <w:rsid w:val="00034928"/>
    <w:rsid w:val="000367F9"/>
    <w:rsid w:val="0003703B"/>
    <w:rsid w:val="0003742B"/>
    <w:rsid w:val="000431E0"/>
    <w:rsid w:val="0004320C"/>
    <w:rsid w:val="00044411"/>
    <w:rsid w:val="00047236"/>
    <w:rsid w:val="00051922"/>
    <w:rsid w:val="00053233"/>
    <w:rsid w:val="00053585"/>
    <w:rsid w:val="00055554"/>
    <w:rsid w:val="00056171"/>
    <w:rsid w:val="00056F20"/>
    <w:rsid w:val="00057CA7"/>
    <w:rsid w:val="00057D74"/>
    <w:rsid w:val="00064C16"/>
    <w:rsid w:val="00065B65"/>
    <w:rsid w:val="0006724F"/>
    <w:rsid w:val="00067DB2"/>
    <w:rsid w:val="00070AED"/>
    <w:rsid w:val="00072F64"/>
    <w:rsid w:val="00073012"/>
    <w:rsid w:val="00075288"/>
    <w:rsid w:val="00076467"/>
    <w:rsid w:val="00082659"/>
    <w:rsid w:val="000860A8"/>
    <w:rsid w:val="0008706C"/>
    <w:rsid w:val="000875C7"/>
    <w:rsid w:val="0009096A"/>
    <w:rsid w:val="00090BDD"/>
    <w:rsid w:val="00091713"/>
    <w:rsid w:val="00091CA3"/>
    <w:rsid w:val="0009451B"/>
    <w:rsid w:val="00097627"/>
    <w:rsid w:val="000A08BA"/>
    <w:rsid w:val="000A0E14"/>
    <w:rsid w:val="000A3A62"/>
    <w:rsid w:val="000A3DCB"/>
    <w:rsid w:val="000A6FB7"/>
    <w:rsid w:val="000B21C1"/>
    <w:rsid w:val="000C124D"/>
    <w:rsid w:val="000C140F"/>
    <w:rsid w:val="000C21E0"/>
    <w:rsid w:val="000C4124"/>
    <w:rsid w:val="000C5FCD"/>
    <w:rsid w:val="000C740A"/>
    <w:rsid w:val="000D268D"/>
    <w:rsid w:val="000D3698"/>
    <w:rsid w:val="000D5A0E"/>
    <w:rsid w:val="000D7186"/>
    <w:rsid w:val="000D71B2"/>
    <w:rsid w:val="000E1684"/>
    <w:rsid w:val="000E225F"/>
    <w:rsid w:val="000F1E3D"/>
    <w:rsid w:val="000F47FC"/>
    <w:rsid w:val="00101350"/>
    <w:rsid w:val="00101B18"/>
    <w:rsid w:val="001050DB"/>
    <w:rsid w:val="00106218"/>
    <w:rsid w:val="00106F58"/>
    <w:rsid w:val="0011108B"/>
    <w:rsid w:val="00114358"/>
    <w:rsid w:val="00114A70"/>
    <w:rsid w:val="001201FD"/>
    <w:rsid w:val="001208E4"/>
    <w:rsid w:val="0012518B"/>
    <w:rsid w:val="00130211"/>
    <w:rsid w:val="001306E3"/>
    <w:rsid w:val="0013117E"/>
    <w:rsid w:val="0013209C"/>
    <w:rsid w:val="00133D08"/>
    <w:rsid w:val="00134527"/>
    <w:rsid w:val="00134936"/>
    <w:rsid w:val="00136E45"/>
    <w:rsid w:val="00140594"/>
    <w:rsid w:val="00140B5D"/>
    <w:rsid w:val="0014199E"/>
    <w:rsid w:val="00143EF5"/>
    <w:rsid w:val="00143FB2"/>
    <w:rsid w:val="00146AE4"/>
    <w:rsid w:val="00150008"/>
    <w:rsid w:val="001509EA"/>
    <w:rsid w:val="00155B29"/>
    <w:rsid w:val="00156031"/>
    <w:rsid w:val="00161994"/>
    <w:rsid w:val="00163B9A"/>
    <w:rsid w:val="00165235"/>
    <w:rsid w:val="00167133"/>
    <w:rsid w:val="00174035"/>
    <w:rsid w:val="001741FE"/>
    <w:rsid w:val="00175D3D"/>
    <w:rsid w:val="001808B0"/>
    <w:rsid w:val="00184BA7"/>
    <w:rsid w:val="00185309"/>
    <w:rsid w:val="001862D8"/>
    <w:rsid w:val="001869CE"/>
    <w:rsid w:val="00187310"/>
    <w:rsid w:val="00192C28"/>
    <w:rsid w:val="00192F2C"/>
    <w:rsid w:val="00195476"/>
    <w:rsid w:val="00196600"/>
    <w:rsid w:val="001970FF"/>
    <w:rsid w:val="001A2D5D"/>
    <w:rsid w:val="001A5275"/>
    <w:rsid w:val="001A68DA"/>
    <w:rsid w:val="001B07AF"/>
    <w:rsid w:val="001B2CB4"/>
    <w:rsid w:val="001B398E"/>
    <w:rsid w:val="001B6EE7"/>
    <w:rsid w:val="001B7263"/>
    <w:rsid w:val="001C1620"/>
    <w:rsid w:val="001C1B0E"/>
    <w:rsid w:val="001C530B"/>
    <w:rsid w:val="001C545B"/>
    <w:rsid w:val="001C5D93"/>
    <w:rsid w:val="001C7B74"/>
    <w:rsid w:val="001D024F"/>
    <w:rsid w:val="001D5472"/>
    <w:rsid w:val="001E44AD"/>
    <w:rsid w:val="001E524D"/>
    <w:rsid w:val="001E6974"/>
    <w:rsid w:val="001F10EE"/>
    <w:rsid w:val="001F15C5"/>
    <w:rsid w:val="001F2E8F"/>
    <w:rsid w:val="001F3D52"/>
    <w:rsid w:val="001F6F1D"/>
    <w:rsid w:val="0020115D"/>
    <w:rsid w:val="00201FAC"/>
    <w:rsid w:val="0020218D"/>
    <w:rsid w:val="00204386"/>
    <w:rsid w:val="00205036"/>
    <w:rsid w:val="002077E2"/>
    <w:rsid w:val="00207CEC"/>
    <w:rsid w:val="00211820"/>
    <w:rsid w:val="00212363"/>
    <w:rsid w:val="00216663"/>
    <w:rsid w:val="00217700"/>
    <w:rsid w:val="0021777E"/>
    <w:rsid w:val="002205AB"/>
    <w:rsid w:val="00223E8B"/>
    <w:rsid w:val="00223F72"/>
    <w:rsid w:val="002268F5"/>
    <w:rsid w:val="00230944"/>
    <w:rsid w:val="00230A4D"/>
    <w:rsid w:val="002310A6"/>
    <w:rsid w:val="00233FB8"/>
    <w:rsid w:val="002340F3"/>
    <w:rsid w:val="0023579A"/>
    <w:rsid w:val="00236095"/>
    <w:rsid w:val="00236E2F"/>
    <w:rsid w:val="0024342D"/>
    <w:rsid w:val="0024522A"/>
    <w:rsid w:val="00246262"/>
    <w:rsid w:val="00246281"/>
    <w:rsid w:val="0024743A"/>
    <w:rsid w:val="002517DE"/>
    <w:rsid w:val="002576F9"/>
    <w:rsid w:val="00260107"/>
    <w:rsid w:val="00261B8D"/>
    <w:rsid w:val="00261D31"/>
    <w:rsid w:val="00263BDD"/>
    <w:rsid w:val="00263FEA"/>
    <w:rsid w:val="00264C3D"/>
    <w:rsid w:val="00264EAE"/>
    <w:rsid w:val="00265C0D"/>
    <w:rsid w:val="00266514"/>
    <w:rsid w:val="00266640"/>
    <w:rsid w:val="0026673E"/>
    <w:rsid w:val="00266839"/>
    <w:rsid w:val="00267FC2"/>
    <w:rsid w:val="00272D82"/>
    <w:rsid w:val="00273673"/>
    <w:rsid w:val="00273AAB"/>
    <w:rsid w:val="0027442A"/>
    <w:rsid w:val="00275E2D"/>
    <w:rsid w:val="00276F13"/>
    <w:rsid w:val="00276FE4"/>
    <w:rsid w:val="00277C96"/>
    <w:rsid w:val="00287008"/>
    <w:rsid w:val="002879DF"/>
    <w:rsid w:val="0029213B"/>
    <w:rsid w:val="00292964"/>
    <w:rsid w:val="00294176"/>
    <w:rsid w:val="0029483C"/>
    <w:rsid w:val="00294957"/>
    <w:rsid w:val="002965F8"/>
    <w:rsid w:val="002A2B5D"/>
    <w:rsid w:val="002A435F"/>
    <w:rsid w:val="002A57C2"/>
    <w:rsid w:val="002A7ED2"/>
    <w:rsid w:val="002B05EA"/>
    <w:rsid w:val="002B1411"/>
    <w:rsid w:val="002B5B95"/>
    <w:rsid w:val="002B6832"/>
    <w:rsid w:val="002C0654"/>
    <w:rsid w:val="002C260B"/>
    <w:rsid w:val="002C2EA9"/>
    <w:rsid w:val="002C4C06"/>
    <w:rsid w:val="002D1D93"/>
    <w:rsid w:val="002D1F3F"/>
    <w:rsid w:val="002D53A3"/>
    <w:rsid w:val="002D6195"/>
    <w:rsid w:val="002D6D45"/>
    <w:rsid w:val="002E125A"/>
    <w:rsid w:val="002E15BD"/>
    <w:rsid w:val="002E188C"/>
    <w:rsid w:val="002E332C"/>
    <w:rsid w:val="002E39BC"/>
    <w:rsid w:val="002E44AF"/>
    <w:rsid w:val="002E52E3"/>
    <w:rsid w:val="002E547C"/>
    <w:rsid w:val="002E5613"/>
    <w:rsid w:val="002E5BD8"/>
    <w:rsid w:val="002F05B1"/>
    <w:rsid w:val="002F49F8"/>
    <w:rsid w:val="002F5297"/>
    <w:rsid w:val="003005A3"/>
    <w:rsid w:val="00305E4B"/>
    <w:rsid w:val="00307AD8"/>
    <w:rsid w:val="003113A6"/>
    <w:rsid w:val="00313806"/>
    <w:rsid w:val="00314B8F"/>
    <w:rsid w:val="00315F5F"/>
    <w:rsid w:val="00316279"/>
    <w:rsid w:val="003176F2"/>
    <w:rsid w:val="003206D6"/>
    <w:rsid w:val="0032137E"/>
    <w:rsid w:val="0032186E"/>
    <w:rsid w:val="003225F9"/>
    <w:rsid w:val="00324991"/>
    <w:rsid w:val="00326E2C"/>
    <w:rsid w:val="003273DA"/>
    <w:rsid w:val="00327A01"/>
    <w:rsid w:val="0033087A"/>
    <w:rsid w:val="00330AFF"/>
    <w:rsid w:val="003322C1"/>
    <w:rsid w:val="0033249D"/>
    <w:rsid w:val="00335DD3"/>
    <w:rsid w:val="00337F81"/>
    <w:rsid w:val="00342E99"/>
    <w:rsid w:val="00343405"/>
    <w:rsid w:val="00347034"/>
    <w:rsid w:val="00352FEC"/>
    <w:rsid w:val="00353F27"/>
    <w:rsid w:val="0035772E"/>
    <w:rsid w:val="00361026"/>
    <w:rsid w:val="003616E6"/>
    <w:rsid w:val="00361A65"/>
    <w:rsid w:val="00361CC1"/>
    <w:rsid w:val="0036451B"/>
    <w:rsid w:val="00376E5F"/>
    <w:rsid w:val="00392ED7"/>
    <w:rsid w:val="0039575A"/>
    <w:rsid w:val="00396736"/>
    <w:rsid w:val="0039769D"/>
    <w:rsid w:val="003A0370"/>
    <w:rsid w:val="003A0425"/>
    <w:rsid w:val="003A0FA8"/>
    <w:rsid w:val="003A23A5"/>
    <w:rsid w:val="003A7AC4"/>
    <w:rsid w:val="003B1D70"/>
    <w:rsid w:val="003B2CDC"/>
    <w:rsid w:val="003B4C9D"/>
    <w:rsid w:val="003B7568"/>
    <w:rsid w:val="003C5741"/>
    <w:rsid w:val="003C6EDC"/>
    <w:rsid w:val="003D3514"/>
    <w:rsid w:val="003D4EE4"/>
    <w:rsid w:val="003D71A3"/>
    <w:rsid w:val="003E1840"/>
    <w:rsid w:val="003E3511"/>
    <w:rsid w:val="003F37DB"/>
    <w:rsid w:val="003F3FE1"/>
    <w:rsid w:val="00403918"/>
    <w:rsid w:val="00404197"/>
    <w:rsid w:val="00406E73"/>
    <w:rsid w:val="00407DBD"/>
    <w:rsid w:val="00413B84"/>
    <w:rsid w:val="00416D29"/>
    <w:rsid w:val="004215AD"/>
    <w:rsid w:val="004219B6"/>
    <w:rsid w:val="0042680A"/>
    <w:rsid w:val="0042726F"/>
    <w:rsid w:val="00427D28"/>
    <w:rsid w:val="00430060"/>
    <w:rsid w:val="00431DA7"/>
    <w:rsid w:val="00435BC8"/>
    <w:rsid w:val="004376CB"/>
    <w:rsid w:val="00437F2A"/>
    <w:rsid w:val="00441D96"/>
    <w:rsid w:val="0044201B"/>
    <w:rsid w:val="00444F7D"/>
    <w:rsid w:val="004460E7"/>
    <w:rsid w:val="004506F7"/>
    <w:rsid w:val="00451A5D"/>
    <w:rsid w:val="00452E0C"/>
    <w:rsid w:val="00455F54"/>
    <w:rsid w:val="0045649A"/>
    <w:rsid w:val="00456AF8"/>
    <w:rsid w:val="00461C08"/>
    <w:rsid w:val="0046237E"/>
    <w:rsid w:val="0046348B"/>
    <w:rsid w:val="004637D9"/>
    <w:rsid w:val="00470269"/>
    <w:rsid w:val="00472546"/>
    <w:rsid w:val="00472BDD"/>
    <w:rsid w:val="004735E9"/>
    <w:rsid w:val="00483AFF"/>
    <w:rsid w:val="004859ED"/>
    <w:rsid w:val="00491ED1"/>
    <w:rsid w:val="00494941"/>
    <w:rsid w:val="00495645"/>
    <w:rsid w:val="0049762C"/>
    <w:rsid w:val="004A39D5"/>
    <w:rsid w:val="004A5425"/>
    <w:rsid w:val="004A6DA6"/>
    <w:rsid w:val="004A74B3"/>
    <w:rsid w:val="004A7834"/>
    <w:rsid w:val="004B1D29"/>
    <w:rsid w:val="004B2571"/>
    <w:rsid w:val="004B2910"/>
    <w:rsid w:val="004B6415"/>
    <w:rsid w:val="004C02AB"/>
    <w:rsid w:val="004C189F"/>
    <w:rsid w:val="004C1D46"/>
    <w:rsid w:val="004C2E28"/>
    <w:rsid w:val="004C5205"/>
    <w:rsid w:val="004C643A"/>
    <w:rsid w:val="004C7613"/>
    <w:rsid w:val="004D03F4"/>
    <w:rsid w:val="004D03F8"/>
    <w:rsid w:val="004D2C3E"/>
    <w:rsid w:val="004D2D98"/>
    <w:rsid w:val="004D4578"/>
    <w:rsid w:val="004D5610"/>
    <w:rsid w:val="004D6E3F"/>
    <w:rsid w:val="004E2773"/>
    <w:rsid w:val="004E2FA4"/>
    <w:rsid w:val="004E4363"/>
    <w:rsid w:val="004E51E5"/>
    <w:rsid w:val="004F21A8"/>
    <w:rsid w:val="004F2CEC"/>
    <w:rsid w:val="004F2F3C"/>
    <w:rsid w:val="004F50E9"/>
    <w:rsid w:val="004F6386"/>
    <w:rsid w:val="004F6E34"/>
    <w:rsid w:val="004F74D3"/>
    <w:rsid w:val="005012A6"/>
    <w:rsid w:val="005027E2"/>
    <w:rsid w:val="00502928"/>
    <w:rsid w:val="0050379E"/>
    <w:rsid w:val="00504A6E"/>
    <w:rsid w:val="0050595F"/>
    <w:rsid w:val="0050645D"/>
    <w:rsid w:val="00511F7E"/>
    <w:rsid w:val="00517CEF"/>
    <w:rsid w:val="0052040A"/>
    <w:rsid w:val="0052052B"/>
    <w:rsid w:val="00524866"/>
    <w:rsid w:val="00525C3C"/>
    <w:rsid w:val="0052631F"/>
    <w:rsid w:val="0053063F"/>
    <w:rsid w:val="005351FB"/>
    <w:rsid w:val="005407E2"/>
    <w:rsid w:val="00541D4F"/>
    <w:rsid w:val="00542E67"/>
    <w:rsid w:val="00543FFB"/>
    <w:rsid w:val="00544138"/>
    <w:rsid w:val="005442BA"/>
    <w:rsid w:val="0054450A"/>
    <w:rsid w:val="0054511F"/>
    <w:rsid w:val="0054735F"/>
    <w:rsid w:val="005514D6"/>
    <w:rsid w:val="00552308"/>
    <w:rsid w:val="00552466"/>
    <w:rsid w:val="00552CE9"/>
    <w:rsid w:val="00553DD4"/>
    <w:rsid w:val="00556F51"/>
    <w:rsid w:val="005626F8"/>
    <w:rsid w:val="005661FC"/>
    <w:rsid w:val="0057144F"/>
    <w:rsid w:val="00573C5E"/>
    <w:rsid w:val="00574525"/>
    <w:rsid w:val="00574B09"/>
    <w:rsid w:val="00575B8B"/>
    <w:rsid w:val="00580764"/>
    <w:rsid w:val="0058159D"/>
    <w:rsid w:val="00584216"/>
    <w:rsid w:val="00591654"/>
    <w:rsid w:val="00593441"/>
    <w:rsid w:val="00594A3A"/>
    <w:rsid w:val="0059576C"/>
    <w:rsid w:val="005A0A21"/>
    <w:rsid w:val="005A1F48"/>
    <w:rsid w:val="005A348C"/>
    <w:rsid w:val="005A6DAF"/>
    <w:rsid w:val="005A770F"/>
    <w:rsid w:val="005B7504"/>
    <w:rsid w:val="005B7623"/>
    <w:rsid w:val="005C3D2A"/>
    <w:rsid w:val="005C52C8"/>
    <w:rsid w:val="005D045C"/>
    <w:rsid w:val="005D16AC"/>
    <w:rsid w:val="005D2E98"/>
    <w:rsid w:val="005D4BBC"/>
    <w:rsid w:val="005D55EE"/>
    <w:rsid w:val="005E10C8"/>
    <w:rsid w:val="005E164C"/>
    <w:rsid w:val="005E2940"/>
    <w:rsid w:val="005E480F"/>
    <w:rsid w:val="005E4B73"/>
    <w:rsid w:val="005E528E"/>
    <w:rsid w:val="005F3B3A"/>
    <w:rsid w:val="005F563D"/>
    <w:rsid w:val="005F5715"/>
    <w:rsid w:val="005F7A08"/>
    <w:rsid w:val="00600D7B"/>
    <w:rsid w:val="00603346"/>
    <w:rsid w:val="006034CA"/>
    <w:rsid w:val="00605995"/>
    <w:rsid w:val="006069EC"/>
    <w:rsid w:val="00607080"/>
    <w:rsid w:val="0061134B"/>
    <w:rsid w:val="00612E7E"/>
    <w:rsid w:val="006164EA"/>
    <w:rsid w:val="00617364"/>
    <w:rsid w:val="00625B6B"/>
    <w:rsid w:val="006278FD"/>
    <w:rsid w:val="0063115F"/>
    <w:rsid w:val="00631D5F"/>
    <w:rsid w:val="0063305C"/>
    <w:rsid w:val="006372C8"/>
    <w:rsid w:val="00637A73"/>
    <w:rsid w:val="0064095F"/>
    <w:rsid w:val="006464FA"/>
    <w:rsid w:val="00646A3F"/>
    <w:rsid w:val="00646D78"/>
    <w:rsid w:val="00650E9D"/>
    <w:rsid w:val="006628F0"/>
    <w:rsid w:val="006632E2"/>
    <w:rsid w:val="00664C92"/>
    <w:rsid w:val="0066545E"/>
    <w:rsid w:val="00665E00"/>
    <w:rsid w:val="0066753C"/>
    <w:rsid w:val="006723A9"/>
    <w:rsid w:val="00673644"/>
    <w:rsid w:val="006739E3"/>
    <w:rsid w:val="006764C0"/>
    <w:rsid w:val="0067655F"/>
    <w:rsid w:val="0068082F"/>
    <w:rsid w:val="00687920"/>
    <w:rsid w:val="00693DFF"/>
    <w:rsid w:val="00695A4D"/>
    <w:rsid w:val="00696ADB"/>
    <w:rsid w:val="00697085"/>
    <w:rsid w:val="006976AE"/>
    <w:rsid w:val="006A0F3A"/>
    <w:rsid w:val="006A1817"/>
    <w:rsid w:val="006A22D3"/>
    <w:rsid w:val="006A4359"/>
    <w:rsid w:val="006B02DE"/>
    <w:rsid w:val="006B1C84"/>
    <w:rsid w:val="006B5795"/>
    <w:rsid w:val="006C04C2"/>
    <w:rsid w:val="006C5581"/>
    <w:rsid w:val="006C603C"/>
    <w:rsid w:val="006C6C4C"/>
    <w:rsid w:val="006D0351"/>
    <w:rsid w:val="006D0934"/>
    <w:rsid w:val="006D2100"/>
    <w:rsid w:val="006E5A4E"/>
    <w:rsid w:val="006E5B08"/>
    <w:rsid w:val="006E7D56"/>
    <w:rsid w:val="006F3051"/>
    <w:rsid w:val="006F3052"/>
    <w:rsid w:val="006F4D1A"/>
    <w:rsid w:val="006F5E1F"/>
    <w:rsid w:val="007003C2"/>
    <w:rsid w:val="00702FF3"/>
    <w:rsid w:val="007049CA"/>
    <w:rsid w:val="007055CF"/>
    <w:rsid w:val="00713796"/>
    <w:rsid w:val="00714E9E"/>
    <w:rsid w:val="00715E45"/>
    <w:rsid w:val="00717AF3"/>
    <w:rsid w:val="007215B5"/>
    <w:rsid w:val="00721CA1"/>
    <w:rsid w:val="00721ED1"/>
    <w:rsid w:val="00723F8A"/>
    <w:rsid w:val="0072530A"/>
    <w:rsid w:val="00726F46"/>
    <w:rsid w:val="007320C2"/>
    <w:rsid w:val="00732910"/>
    <w:rsid w:val="00735EC2"/>
    <w:rsid w:val="00741AD2"/>
    <w:rsid w:val="007440FD"/>
    <w:rsid w:val="00750313"/>
    <w:rsid w:val="00751D29"/>
    <w:rsid w:val="00754102"/>
    <w:rsid w:val="00754465"/>
    <w:rsid w:val="00754A58"/>
    <w:rsid w:val="00756A64"/>
    <w:rsid w:val="00756FD2"/>
    <w:rsid w:val="00760E6D"/>
    <w:rsid w:val="007623EB"/>
    <w:rsid w:val="00762CA2"/>
    <w:rsid w:val="007651F4"/>
    <w:rsid w:val="007661D7"/>
    <w:rsid w:val="0076624C"/>
    <w:rsid w:val="0076789A"/>
    <w:rsid w:val="00770CE1"/>
    <w:rsid w:val="00771B1B"/>
    <w:rsid w:val="00771FF4"/>
    <w:rsid w:val="00772169"/>
    <w:rsid w:val="00773612"/>
    <w:rsid w:val="007736FA"/>
    <w:rsid w:val="00774813"/>
    <w:rsid w:val="0077697B"/>
    <w:rsid w:val="00781069"/>
    <w:rsid w:val="00781884"/>
    <w:rsid w:val="007824F6"/>
    <w:rsid w:val="0078300C"/>
    <w:rsid w:val="0078547B"/>
    <w:rsid w:val="00785707"/>
    <w:rsid w:val="00786022"/>
    <w:rsid w:val="00794F21"/>
    <w:rsid w:val="007A0E05"/>
    <w:rsid w:val="007A0F76"/>
    <w:rsid w:val="007A1FBB"/>
    <w:rsid w:val="007A2E6F"/>
    <w:rsid w:val="007A3E70"/>
    <w:rsid w:val="007A792C"/>
    <w:rsid w:val="007A7CC8"/>
    <w:rsid w:val="007B3250"/>
    <w:rsid w:val="007B5B90"/>
    <w:rsid w:val="007C0AD5"/>
    <w:rsid w:val="007C0D06"/>
    <w:rsid w:val="007C3E74"/>
    <w:rsid w:val="007C5287"/>
    <w:rsid w:val="007C57FF"/>
    <w:rsid w:val="007D0B5A"/>
    <w:rsid w:val="007D0FCD"/>
    <w:rsid w:val="007D1478"/>
    <w:rsid w:val="007D3797"/>
    <w:rsid w:val="007D46B6"/>
    <w:rsid w:val="007D5D2B"/>
    <w:rsid w:val="007D5EC0"/>
    <w:rsid w:val="007D7A78"/>
    <w:rsid w:val="007E418A"/>
    <w:rsid w:val="007E41C6"/>
    <w:rsid w:val="007E4D05"/>
    <w:rsid w:val="007F065C"/>
    <w:rsid w:val="007F370F"/>
    <w:rsid w:val="007F7591"/>
    <w:rsid w:val="00801B0F"/>
    <w:rsid w:val="00804D92"/>
    <w:rsid w:val="00812633"/>
    <w:rsid w:val="008127A1"/>
    <w:rsid w:val="00812CDE"/>
    <w:rsid w:val="00816031"/>
    <w:rsid w:val="00816059"/>
    <w:rsid w:val="00816170"/>
    <w:rsid w:val="00817F50"/>
    <w:rsid w:val="008201F0"/>
    <w:rsid w:val="00820491"/>
    <w:rsid w:val="00822C8B"/>
    <w:rsid w:val="00824D7A"/>
    <w:rsid w:val="00826A4E"/>
    <w:rsid w:val="00826F98"/>
    <w:rsid w:val="0082747B"/>
    <w:rsid w:val="00830B1F"/>
    <w:rsid w:val="00830F36"/>
    <w:rsid w:val="00832A28"/>
    <w:rsid w:val="00835925"/>
    <w:rsid w:val="008373B9"/>
    <w:rsid w:val="0084027F"/>
    <w:rsid w:val="0084226A"/>
    <w:rsid w:val="00845B2E"/>
    <w:rsid w:val="008467D1"/>
    <w:rsid w:val="00846B02"/>
    <w:rsid w:val="0085052A"/>
    <w:rsid w:val="008505D1"/>
    <w:rsid w:val="00851D97"/>
    <w:rsid w:val="00851ED3"/>
    <w:rsid w:val="00853369"/>
    <w:rsid w:val="00860CC8"/>
    <w:rsid w:val="008631E9"/>
    <w:rsid w:val="00864002"/>
    <w:rsid w:val="00864B30"/>
    <w:rsid w:val="0086552B"/>
    <w:rsid w:val="008667D3"/>
    <w:rsid w:val="00872478"/>
    <w:rsid w:val="00876D94"/>
    <w:rsid w:val="00877DB0"/>
    <w:rsid w:val="0088264A"/>
    <w:rsid w:val="00886FAD"/>
    <w:rsid w:val="0089088E"/>
    <w:rsid w:val="00890939"/>
    <w:rsid w:val="00894696"/>
    <w:rsid w:val="00896C77"/>
    <w:rsid w:val="0089741C"/>
    <w:rsid w:val="008A582D"/>
    <w:rsid w:val="008B4114"/>
    <w:rsid w:val="008B4958"/>
    <w:rsid w:val="008B4A4A"/>
    <w:rsid w:val="008B70FC"/>
    <w:rsid w:val="008B7D63"/>
    <w:rsid w:val="008C31BC"/>
    <w:rsid w:val="008C330B"/>
    <w:rsid w:val="008C337A"/>
    <w:rsid w:val="008C4401"/>
    <w:rsid w:val="008D016B"/>
    <w:rsid w:val="008D22D3"/>
    <w:rsid w:val="008D2DEA"/>
    <w:rsid w:val="008D2EC3"/>
    <w:rsid w:val="008D49ED"/>
    <w:rsid w:val="008D4D40"/>
    <w:rsid w:val="008D6E6F"/>
    <w:rsid w:val="008E196B"/>
    <w:rsid w:val="008E2412"/>
    <w:rsid w:val="008E4E2A"/>
    <w:rsid w:val="008E64FD"/>
    <w:rsid w:val="008E72EE"/>
    <w:rsid w:val="008E736E"/>
    <w:rsid w:val="008F0CC3"/>
    <w:rsid w:val="008F184F"/>
    <w:rsid w:val="008F2C46"/>
    <w:rsid w:val="008F4902"/>
    <w:rsid w:val="008F5C51"/>
    <w:rsid w:val="0090042C"/>
    <w:rsid w:val="0090046A"/>
    <w:rsid w:val="00907738"/>
    <w:rsid w:val="00910E47"/>
    <w:rsid w:val="009118A1"/>
    <w:rsid w:val="009143D7"/>
    <w:rsid w:val="009152D7"/>
    <w:rsid w:val="00920C7F"/>
    <w:rsid w:val="009220BA"/>
    <w:rsid w:val="009251D0"/>
    <w:rsid w:val="0092548A"/>
    <w:rsid w:val="009263FB"/>
    <w:rsid w:val="009273E1"/>
    <w:rsid w:val="00930E53"/>
    <w:rsid w:val="009318AE"/>
    <w:rsid w:val="00932E31"/>
    <w:rsid w:val="0093509C"/>
    <w:rsid w:val="0093516D"/>
    <w:rsid w:val="00937239"/>
    <w:rsid w:val="00942FF6"/>
    <w:rsid w:val="009444C0"/>
    <w:rsid w:val="00950A29"/>
    <w:rsid w:val="0095156E"/>
    <w:rsid w:val="00953B32"/>
    <w:rsid w:val="009569D2"/>
    <w:rsid w:val="00962FF7"/>
    <w:rsid w:val="00971168"/>
    <w:rsid w:val="00975BA5"/>
    <w:rsid w:val="00976006"/>
    <w:rsid w:val="00976940"/>
    <w:rsid w:val="00981064"/>
    <w:rsid w:val="00982BBD"/>
    <w:rsid w:val="00984D24"/>
    <w:rsid w:val="0098594C"/>
    <w:rsid w:val="00985E87"/>
    <w:rsid w:val="00986A35"/>
    <w:rsid w:val="00990A43"/>
    <w:rsid w:val="00991F23"/>
    <w:rsid w:val="00991F9B"/>
    <w:rsid w:val="00992D90"/>
    <w:rsid w:val="00994991"/>
    <w:rsid w:val="00995A32"/>
    <w:rsid w:val="009961F4"/>
    <w:rsid w:val="009A242E"/>
    <w:rsid w:val="009A755D"/>
    <w:rsid w:val="009B525B"/>
    <w:rsid w:val="009B6AF2"/>
    <w:rsid w:val="009B6B8F"/>
    <w:rsid w:val="009C00D2"/>
    <w:rsid w:val="009C2FBB"/>
    <w:rsid w:val="009C4D4E"/>
    <w:rsid w:val="009C623A"/>
    <w:rsid w:val="009D0D17"/>
    <w:rsid w:val="009D268D"/>
    <w:rsid w:val="009D274C"/>
    <w:rsid w:val="009D53C7"/>
    <w:rsid w:val="009D5C89"/>
    <w:rsid w:val="009D66EB"/>
    <w:rsid w:val="009D6EDA"/>
    <w:rsid w:val="009D6F56"/>
    <w:rsid w:val="009E0412"/>
    <w:rsid w:val="009E04EC"/>
    <w:rsid w:val="009E1100"/>
    <w:rsid w:val="009E12D7"/>
    <w:rsid w:val="009E40F9"/>
    <w:rsid w:val="009E552D"/>
    <w:rsid w:val="009E6B08"/>
    <w:rsid w:val="009E6BBC"/>
    <w:rsid w:val="009E7BD3"/>
    <w:rsid w:val="009F2BB0"/>
    <w:rsid w:val="009F409F"/>
    <w:rsid w:val="009F4BA6"/>
    <w:rsid w:val="009F64CC"/>
    <w:rsid w:val="00A0182F"/>
    <w:rsid w:val="00A056AA"/>
    <w:rsid w:val="00A05B23"/>
    <w:rsid w:val="00A07550"/>
    <w:rsid w:val="00A1377F"/>
    <w:rsid w:val="00A13AD5"/>
    <w:rsid w:val="00A20CEF"/>
    <w:rsid w:val="00A216A2"/>
    <w:rsid w:val="00A21F2B"/>
    <w:rsid w:val="00A2287F"/>
    <w:rsid w:val="00A2603E"/>
    <w:rsid w:val="00A26614"/>
    <w:rsid w:val="00A30C83"/>
    <w:rsid w:val="00A30CC2"/>
    <w:rsid w:val="00A33A9D"/>
    <w:rsid w:val="00A345DF"/>
    <w:rsid w:val="00A35A71"/>
    <w:rsid w:val="00A40AC6"/>
    <w:rsid w:val="00A40CF1"/>
    <w:rsid w:val="00A411B1"/>
    <w:rsid w:val="00A417FA"/>
    <w:rsid w:val="00A421E6"/>
    <w:rsid w:val="00A42358"/>
    <w:rsid w:val="00A4700D"/>
    <w:rsid w:val="00A47822"/>
    <w:rsid w:val="00A51B91"/>
    <w:rsid w:val="00A52487"/>
    <w:rsid w:val="00A55EDE"/>
    <w:rsid w:val="00A61E50"/>
    <w:rsid w:val="00A63FD7"/>
    <w:rsid w:val="00A640DB"/>
    <w:rsid w:val="00A641E1"/>
    <w:rsid w:val="00A647C5"/>
    <w:rsid w:val="00A65967"/>
    <w:rsid w:val="00A659DF"/>
    <w:rsid w:val="00A661F5"/>
    <w:rsid w:val="00A72A0D"/>
    <w:rsid w:val="00A73939"/>
    <w:rsid w:val="00A73F2C"/>
    <w:rsid w:val="00A740C7"/>
    <w:rsid w:val="00A82545"/>
    <w:rsid w:val="00A8597C"/>
    <w:rsid w:val="00A878DA"/>
    <w:rsid w:val="00A91F87"/>
    <w:rsid w:val="00A97E5A"/>
    <w:rsid w:val="00AA0CD4"/>
    <w:rsid w:val="00AA429E"/>
    <w:rsid w:val="00AA5838"/>
    <w:rsid w:val="00AB171A"/>
    <w:rsid w:val="00AB2E58"/>
    <w:rsid w:val="00AB3BC4"/>
    <w:rsid w:val="00AB48C0"/>
    <w:rsid w:val="00AB6A8E"/>
    <w:rsid w:val="00AC4D43"/>
    <w:rsid w:val="00AC5875"/>
    <w:rsid w:val="00AC5F0E"/>
    <w:rsid w:val="00AC60FC"/>
    <w:rsid w:val="00AC6449"/>
    <w:rsid w:val="00AC74AE"/>
    <w:rsid w:val="00AD119A"/>
    <w:rsid w:val="00AD1363"/>
    <w:rsid w:val="00AD27CA"/>
    <w:rsid w:val="00AE2936"/>
    <w:rsid w:val="00AE41EC"/>
    <w:rsid w:val="00AF1C2D"/>
    <w:rsid w:val="00AF62C3"/>
    <w:rsid w:val="00AF708A"/>
    <w:rsid w:val="00AF790C"/>
    <w:rsid w:val="00B012AB"/>
    <w:rsid w:val="00B039BE"/>
    <w:rsid w:val="00B0732A"/>
    <w:rsid w:val="00B10229"/>
    <w:rsid w:val="00B11C8C"/>
    <w:rsid w:val="00B1254D"/>
    <w:rsid w:val="00B15505"/>
    <w:rsid w:val="00B1669B"/>
    <w:rsid w:val="00B16F5A"/>
    <w:rsid w:val="00B22FDF"/>
    <w:rsid w:val="00B235D7"/>
    <w:rsid w:val="00B24160"/>
    <w:rsid w:val="00B2640B"/>
    <w:rsid w:val="00B30BE2"/>
    <w:rsid w:val="00B318D7"/>
    <w:rsid w:val="00B31B0D"/>
    <w:rsid w:val="00B3439F"/>
    <w:rsid w:val="00B3574D"/>
    <w:rsid w:val="00B36888"/>
    <w:rsid w:val="00B36E4A"/>
    <w:rsid w:val="00B37B25"/>
    <w:rsid w:val="00B43C59"/>
    <w:rsid w:val="00B44E12"/>
    <w:rsid w:val="00B46033"/>
    <w:rsid w:val="00B461F3"/>
    <w:rsid w:val="00B46861"/>
    <w:rsid w:val="00B5004B"/>
    <w:rsid w:val="00B50888"/>
    <w:rsid w:val="00B50FDE"/>
    <w:rsid w:val="00B51BE0"/>
    <w:rsid w:val="00B52066"/>
    <w:rsid w:val="00B5390F"/>
    <w:rsid w:val="00B553E7"/>
    <w:rsid w:val="00B56378"/>
    <w:rsid w:val="00B578AD"/>
    <w:rsid w:val="00B60A49"/>
    <w:rsid w:val="00B61375"/>
    <w:rsid w:val="00B61822"/>
    <w:rsid w:val="00B618B2"/>
    <w:rsid w:val="00B65446"/>
    <w:rsid w:val="00B7014D"/>
    <w:rsid w:val="00B8089B"/>
    <w:rsid w:val="00B83096"/>
    <w:rsid w:val="00B85CFC"/>
    <w:rsid w:val="00B90831"/>
    <w:rsid w:val="00B90B0E"/>
    <w:rsid w:val="00B90F1E"/>
    <w:rsid w:val="00B94B86"/>
    <w:rsid w:val="00BA4D01"/>
    <w:rsid w:val="00BA67E2"/>
    <w:rsid w:val="00BA779B"/>
    <w:rsid w:val="00BB0744"/>
    <w:rsid w:val="00BB1E90"/>
    <w:rsid w:val="00BB71DF"/>
    <w:rsid w:val="00BB74A1"/>
    <w:rsid w:val="00BC7BC7"/>
    <w:rsid w:val="00BD4074"/>
    <w:rsid w:val="00BD4B32"/>
    <w:rsid w:val="00BE0021"/>
    <w:rsid w:val="00BF55F8"/>
    <w:rsid w:val="00BF60E8"/>
    <w:rsid w:val="00C100C2"/>
    <w:rsid w:val="00C14C14"/>
    <w:rsid w:val="00C14C3E"/>
    <w:rsid w:val="00C14D9A"/>
    <w:rsid w:val="00C21277"/>
    <w:rsid w:val="00C2241F"/>
    <w:rsid w:val="00C23DC3"/>
    <w:rsid w:val="00C24F7E"/>
    <w:rsid w:val="00C30424"/>
    <w:rsid w:val="00C30BAA"/>
    <w:rsid w:val="00C353AB"/>
    <w:rsid w:val="00C35469"/>
    <w:rsid w:val="00C40663"/>
    <w:rsid w:val="00C42250"/>
    <w:rsid w:val="00C44A96"/>
    <w:rsid w:val="00C44BF0"/>
    <w:rsid w:val="00C4597C"/>
    <w:rsid w:val="00C46C98"/>
    <w:rsid w:val="00C47BA8"/>
    <w:rsid w:val="00C51837"/>
    <w:rsid w:val="00C5257C"/>
    <w:rsid w:val="00C541B2"/>
    <w:rsid w:val="00C5436E"/>
    <w:rsid w:val="00C545CB"/>
    <w:rsid w:val="00C55A60"/>
    <w:rsid w:val="00C5718E"/>
    <w:rsid w:val="00C610F0"/>
    <w:rsid w:val="00C717C8"/>
    <w:rsid w:val="00C726E0"/>
    <w:rsid w:val="00C72AA9"/>
    <w:rsid w:val="00C73B5D"/>
    <w:rsid w:val="00C77890"/>
    <w:rsid w:val="00C80B38"/>
    <w:rsid w:val="00C81E99"/>
    <w:rsid w:val="00C872AA"/>
    <w:rsid w:val="00C90F4C"/>
    <w:rsid w:val="00C915F6"/>
    <w:rsid w:val="00C92B5A"/>
    <w:rsid w:val="00C945A4"/>
    <w:rsid w:val="00C975BD"/>
    <w:rsid w:val="00CA2B9B"/>
    <w:rsid w:val="00CA32A2"/>
    <w:rsid w:val="00CA3D4B"/>
    <w:rsid w:val="00CA4619"/>
    <w:rsid w:val="00CA5002"/>
    <w:rsid w:val="00CA55FB"/>
    <w:rsid w:val="00CA6433"/>
    <w:rsid w:val="00CA7428"/>
    <w:rsid w:val="00CA7D85"/>
    <w:rsid w:val="00CC071F"/>
    <w:rsid w:val="00CC3CE8"/>
    <w:rsid w:val="00CC47E5"/>
    <w:rsid w:val="00CC572E"/>
    <w:rsid w:val="00CC7067"/>
    <w:rsid w:val="00CC7545"/>
    <w:rsid w:val="00CC7C20"/>
    <w:rsid w:val="00CD0D87"/>
    <w:rsid w:val="00CD198F"/>
    <w:rsid w:val="00CD75C4"/>
    <w:rsid w:val="00CE5F07"/>
    <w:rsid w:val="00CE6567"/>
    <w:rsid w:val="00CE7B0E"/>
    <w:rsid w:val="00CF081B"/>
    <w:rsid w:val="00CF40C6"/>
    <w:rsid w:val="00CF6F47"/>
    <w:rsid w:val="00D00003"/>
    <w:rsid w:val="00D004E1"/>
    <w:rsid w:val="00D01420"/>
    <w:rsid w:val="00D03234"/>
    <w:rsid w:val="00D03C3C"/>
    <w:rsid w:val="00D070DD"/>
    <w:rsid w:val="00D07666"/>
    <w:rsid w:val="00D10342"/>
    <w:rsid w:val="00D15E81"/>
    <w:rsid w:val="00D22343"/>
    <w:rsid w:val="00D23BC7"/>
    <w:rsid w:val="00D26A91"/>
    <w:rsid w:val="00D3008C"/>
    <w:rsid w:val="00D30C37"/>
    <w:rsid w:val="00D34ABF"/>
    <w:rsid w:val="00D34D4D"/>
    <w:rsid w:val="00D41241"/>
    <w:rsid w:val="00D542DE"/>
    <w:rsid w:val="00D5751A"/>
    <w:rsid w:val="00D62F6C"/>
    <w:rsid w:val="00D63BB6"/>
    <w:rsid w:val="00D63D98"/>
    <w:rsid w:val="00D64010"/>
    <w:rsid w:val="00D67DBA"/>
    <w:rsid w:val="00D67EFC"/>
    <w:rsid w:val="00D7020F"/>
    <w:rsid w:val="00D7079B"/>
    <w:rsid w:val="00D708DC"/>
    <w:rsid w:val="00D72ED1"/>
    <w:rsid w:val="00D73536"/>
    <w:rsid w:val="00D7404F"/>
    <w:rsid w:val="00D74E5D"/>
    <w:rsid w:val="00D761BF"/>
    <w:rsid w:val="00D7647F"/>
    <w:rsid w:val="00D76B7B"/>
    <w:rsid w:val="00D76C9E"/>
    <w:rsid w:val="00D83742"/>
    <w:rsid w:val="00D8564F"/>
    <w:rsid w:val="00D8683D"/>
    <w:rsid w:val="00D90672"/>
    <w:rsid w:val="00D91D3E"/>
    <w:rsid w:val="00D94D51"/>
    <w:rsid w:val="00D95ADF"/>
    <w:rsid w:val="00D97AFF"/>
    <w:rsid w:val="00DA36B3"/>
    <w:rsid w:val="00DA650D"/>
    <w:rsid w:val="00DA6862"/>
    <w:rsid w:val="00DA68A3"/>
    <w:rsid w:val="00DA74E7"/>
    <w:rsid w:val="00DB0661"/>
    <w:rsid w:val="00DB2328"/>
    <w:rsid w:val="00DC1659"/>
    <w:rsid w:val="00DC1B91"/>
    <w:rsid w:val="00DC277B"/>
    <w:rsid w:val="00DC29D9"/>
    <w:rsid w:val="00DC3B52"/>
    <w:rsid w:val="00DC59BF"/>
    <w:rsid w:val="00DC6383"/>
    <w:rsid w:val="00DD0006"/>
    <w:rsid w:val="00DD0DE9"/>
    <w:rsid w:val="00DD1E90"/>
    <w:rsid w:val="00DE19D5"/>
    <w:rsid w:val="00DE3714"/>
    <w:rsid w:val="00DE3AEA"/>
    <w:rsid w:val="00DE521E"/>
    <w:rsid w:val="00DF2BA7"/>
    <w:rsid w:val="00DF40EE"/>
    <w:rsid w:val="00DF5754"/>
    <w:rsid w:val="00E00A80"/>
    <w:rsid w:val="00E00C16"/>
    <w:rsid w:val="00E01238"/>
    <w:rsid w:val="00E019BC"/>
    <w:rsid w:val="00E044D7"/>
    <w:rsid w:val="00E04E47"/>
    <w:rsid w:val="00E07652"/>
    <w:rsid w:val="00E07759"/>
    <w:rsid w:val="00E101A8"/>
    <w:rsid w:val="00E10A6E"/>
    <w:rsid w:val="00E126E3"/>
    <w:rsid w:val="00E128A6"/>
    <w:rsid w:val="00E14C12"/>
    <w:rsid w:val="00E15E25"/>
    <w:rsid w:val="00E17E66"/>
    <w:rsid w:val="00E21EB5"/>
    <w:rsid w:val="00E21EEA"/>
    <w:rsid w:val="00E23568"/>
    <w:rsid w:val="00E24C44"/>
    <w:rsid w:val="00E2521E"/>
    <w:rsid w:val="00E3537E"/>
    <w:rsid w:val="00E36209"/>
    <w:rsid w:val="00E42301"/>
    <w:rsid w:val="00E43DC6"/>
    <w:rsid w:val="00E43EC8"/>
    <w:rsid w:val="00E4448E"/>
    <w:rsid w:val="00E45467"/>
    <w:rsid w:val="00E45F1C"/>
    <w:rsid w:val="00E469B4"/>
    <w:rsid w:val="00E46A67"/>
    <w:rsid w:val="00E4759C"/>
    <w:rsid w:val="00E52631"/>
    <w:rsid w:val="00E53592"/>
    <w:rsid w:val="00E54B9B"/>
    <w:rsid w:val="00E55297"/>
    <w:rsid w:val="00E55C74"/>
    <w:rsid w:val="00E61A34"/>
    <w:rsid w:val="00E6280A"/>
    <w:rsid w:val="00E65264"/>
    <w:rsid w:val="00E662D1"/>
    <w:rsid w:val="00E7053A"/>
    <w:rsid w:val="00E71274"/>
    <w:rsid w:val="00E7165D"/>
    <w:rsid w:val="00E732B9"/>
    <w:rsid w:val="00E762F1"/>
    <w:rsid w:val="00E8069F"/>
    <w:rsid w:val="00E806D7"/>
    <w:rsid w:val="00E80744"/>
    <w:rsid w:val="00E811FD"/>
    <w:rsid w:val="00E821C5"/>
    <w:rsid w:val="00E854AE"/>
    <w:rsid w:val="00E877FB"/>
    <w:rsid w:val="00E8784B"/>
    <w:rsid w:val="00E91312"/>
    <w:rsid w:val="00E922B0"/>
    <w:rsid w:val="00E92779"/>
    <w:rsid w:val="00EA0C87"/>
    <w:rsid w:val="00EB5ABE"/>
    <w:rsid w:val="00EB6E4F"/>
    <w:rsid w:val="00EC2EB8"/>
    <w:rsid w:val="00EC688F"/>
    <w:rsid w:val="00EC70BA"/>
    <w:rsid w:val="00EC7873"/>
    <w:rsid w:val="00EC7A83"/>
    <w:rsid w:val="00ED1D3C"/>
    <w:rsid w:val="00ED25AB"/>
    <w:rsid w:val="00ED2B47"/>
    <w:rsid w:val="00ED56E6"/>
    <w:rsid w:val="00ED60B0"/>
    <w:rsid w:val="00ED7C0D"/>
    <w:rsid w:val="00EE08C7"/>
    <w:rsid w:val="00EE1CAF"/>
    <w:rsid w:val="00EE3729"/>
    <w:rsid w:val="00EE4D9D"/>
    <w:rsid w:val="00EE5B75"/>
    <w:rsid w:val="00EE7FA2"/>
    <w:rsid w:val="00EF1E3F"/>
    <w:rsid w:val="00EF205B"/>
    <w:rsid w:val="00EF39B4"/>
    <w:rsid w:val="00EF61F3"/>
    <w:rsid w:val="00EF6382"/>
    <w:rsid w:val="00EF709C"/>
    <w:rsid w:val="00EF72A2"/>
    <w:rsid w:val="00F001F2"/>
    <w:rsid w:val="00F05DB1"/>
    <w:rsid w:val="00F06214"/>
    <w:rsid w:val="00F079E3"/>
    <w:rsid w:val="00F10F99"/>
    <w:rsid w:val="00F137EC"/>
    <w:rsid w:val="00F147BD"/>
    <w:rsid w:val="00F15A79"/>
    <w:rsid w:val="00F1631F"/>
    <w:rsid w:val="00F23C0D"/>
    <w:rsid w:val="00F32745"/>
    <w:rsid w:val="00F3365A"/>
    <w:rsid w:val="00F405EC"/>
    <w:rsid w:val="00F42E64"/>
    <w:rsid w:val="00F513F0"/>
    <w:rsid w:val="00F52A95"/>
    <w:rsid w:val="00F5446A"/>
    <w:rsid w:val="00F56134"/>
    <w:rsid w:val="00F57AD0"/>
    <w:rsid w:val="00F6132D"/>
    <w:rsid w:val="00F631EB"/>
    <w:rsid w:val="00F65372"/>
    <w:rsid w:val="00F65AA3"/>
    <w:rsid w:val="00F67E36"/>
    <w:rsid w:val="00F701AC"/>
    <w:rsid w:val="00F7406A"/>
    <w:rsid w:val="00F74117"/>
    <w:rsid w:val="00F77245"/>
    <w:rsid w:val="00F80A54"/>
    <w:rsid w:val="00F81821"/>
    <w:rsid w:val="00F834E7"/>
    <w:rsid w:val="00F86804"/>
    <w:rsid w:val="00F93CBD"/>
    <w:rsid w:val="00F95079"/>
    <w:rsid w:val="00F95E43"/>
    <w:rsid w:val="00F9714C"/>
    <w:rsid w:val="00FA0F15"/>
    <w:rsid w:val="00FA1085"/>
    <w:rsid w:val="00FA6FE4"/>
    <w:rsid w:val="00FA7BC8"/>
    <w:rsid w:val="00FA7F31"/>
    <w:rsid w:val="00FB1B1C"/>
    <w:rsid w:val="00FB2121"/>
    <w:rsid w:val="00FB2D0A"/>
    <w:rsid w:val="00FB41A6"/>
    <w:rsid w:val="00FB484E"/>
    <w:rsid w:val="00FB6C0A"/>
    <w:rsid w:val="00FB712A"/>
    <w:rsid w:val="00FB7572"/>
    <w:rsid w:val="00FB7683"/>
    <w:rsid w:val="00FC1C12"/>
    <w:rsid w:val="00FC21C9"/>
    <w:rsid w:val="00FC5503"/>
    <w:rsid w:val="00FC6BD7"/>
    <w:rsid w:val="00FD232E"/>
    <w:rsid w:val="00FD323F"/>
    <w:rsid w:val="00FD5015"/>
    <w:rsid w:val="00FD78C3"/>
    <w:rsid w:val="00FE3387"/>
    <w:rsid w:val="00FE3F1E"/>
    <w:rsid w:val="00FE4CAF"/>
    <w:rsid w:val="00FE7385"/>
    <w:rsid w:val="00FF2784"/>
    <w:rsid w:val="00FF77A3"/>
    <w:rsid w:val="01221A43"/>
    <w:rsid w:val="018C69D6"/>
    <w:rsid w:val="02414410"/>
    <w:rsid w:val="037203C5"/>
    <w:rsid w:val="03D16BA7"/>
    <w:rsid w:val="040D60DF"/>
    <w:rsid w:val="040F1A9E"/>
    <w:rsid w:val="04221497"/>
    <w:rsid w:val="0493B3CC"/>
    <w:rsid w:val="054E74CF"/>
    <w:rsid w:val="05824BB1"/>
    <w:rsid w:val="06BE500F"/>
    <w:rsid w:val="06EB6E0C"/>
    <w:rsid w:val="080B5711"/>
    <w:rsid w:val="082F30B8"/>
    <w:rsid w:val="08AC5673"/>
    <w:rsid w:val="08AE622C"/>
    <w:rsid w:val="08D01906"/>
    <w:rsid w:val="0AA03A6A"/>
    <w:rsid w:val="0AA94756"/>
    <w:rsid w:val="0AEC6B8F"/>
    <w:rsid w:val="0B44372A"/>
    <w:rsid w:val="0BCB5A6E"/>
    <w:rsid w:val="0DBA9D63"/>
    <w:rsid w:val="0E203BF6"/>
    <w:rsid w:val="0E9AD4BA"/>
    <w:rsid w:val="0F6348D5"/>
    <w:rsid w:val="0FAD5F50"/>
    <w:rsid w:val="0FFD4BBD"/>
    <w:rsid w:val="10E440B8"/>
    <w:rsid w:val="12363627"/>
    <w:rsid w:val="13179B40"/>
    <w:rsid w:val="1352EB20"/>
    <w:rsid w:val="149090D1"/>
    <w:rsid w:val="14C03686"/>
    <w:rsid w:val="14D871B9"/>
    <w:rsid w:val="14F52801"/>
    <w:rsid w:val="161410DD"/>
    <w:rsid w:val="1651030E"/>
    <w:rsid w:val="166D53EE"/>
    <w:rsid w:val="16892FB4"/>
    <w:rsid w:val="1698494F"/>
    <w:rsid w:val="173AD97B"/>
    <w:rsid w:val="18844544"/>
    <w:rsid w:val="18D47301"/>
    <w:rsid w:val="19AB0C4E"/>
    <w:rsid w:val="19FC0261"/>
    <w:rsid w:val="1A512FD2"/>
    <w:rsid w:val="1AF3C753"/>
    <w:rsid w:val="1B8C7FF1"/>
    <w:rsid w:val="1C3B16DC"/>
    <w:rsid w:val="1D2098EA"/>
    <w:rsid w:val="1D843540"/>
    <w:rsid w:val="1D9E652E"/>
    <w:rsid w:val="1DBF46D5"/>
    <w:rsid w:val="1E4211D8"/>
    <w:rsid w:val="1F44102C"/>
    <w:rsid w:val="1F7A214C"/>
    <w:rsid w:val="1F96F31B"/>
    <w:rsid w:val="1FDD0387"/>
    <w:rsid w:val="21CB51B0"/>
    <w:rsid w:val="22247829"/>
    <w:rsid w:val="2224F19C"/>
    <w:rsid w:val="22721109"/>
    <w:rsid w:val="22C42C59"/>
    <w:rsid w:val="22CEEC74"/>
    <w:rsid w:val="234D3CFE"/>
    <w:rsid w:val="23FD2557"/>
    <w:rsid w:val="250A44EE"/>
    <w:rsid w:val="257162D7"/>
    <w:rsid w:val="259F1096"/>
    <w:rsid w:val="268C4BAE"/>
    <w:rsid w:val="26FCEB40"/>
    <w:rsid w:val="275720C2"/>
    <w:rsid w:val="28B3FEBA"/>
    <w:rsid w:val="29585767"/>
    <w:rsid w:val="29B1C0B0"/>
    <w:rsid w:val="2A353533"/>
    <w:rsid w:val="2AFA5858"/>
    <w:rsid w:val="2B8E33BE"/>
    <w:rsid w:val="2BA613A2"/>
    <w:rsid w:val="2BD01A9C"/>
    <w:rsid w:val="2CD00A21"/>
    <w:rsid w:val="2D572256"/>
    <w:rsid w:val="2D8C3E18"/>
    <w:rsid w:val="2D8E19A6"/>
    <w:rsid w:val="2E86E156"/>
    <w:rsid w:val="2F065BB0"/>
    <w:rsid w:val="2F3A4449"/>
    <w:rsid w:val="30071F93"/>
    <w:rsid w:val="300A7849"/>
    <w:rsid w:val="305CE911"/>
    <w:rsid w:val="305D8FB5"/>
    <w:rsid w:val="31AB6BB0"/>
    <w:rsid w:val="31BC4601"/>
    <w:rsid w:val="31C97D18"/>
    <w:rsid w:val="31E9C342"/>
    <w:rsid w:val="322272D6"/>
    <w:rsid w:val="3227162E"/>
    <w:rsid w:val="332D347A"/>
    <w:rsid w:val="334713FF"/>
    <w:rsid w:val="338E62A6"/>
    <w:rsid w:val="33B39103"/>
    <w:rsid w:val="33F8633A"/>
    <w:rsid w:val="342541EB"/>
    <w:rsid w:val="34480B4A"/>
    <w:rsid w:val="34C07741"/>
    <w:rsid w:val="3515FF7D"/>
    <w:rsid w:val="354635DA"/>
    <w:rsid w:val="358D3268"/>
    <w:rsid w:val="359447EE"/>
    <w:rsid w:val="3673A880"/>
    <w:rsid w:val="36900EC8"/>
    <w:rsid w:val="36EA546A"/>
    <w:rsid w:val="37B981DA"/>
    <w:rsid w:val="37DE2828"/>
    <w:rsid w:val="38A2353F"/>
    <w:rsid w:val="38F56342"/>
    <w:rsid w:val="3957299F"/>
    <w:rsid w:val="39FFCF44"/>
    <w:rsid w:val="3A121F53"/>
    <w:rsid w:val="3A5308BC"/>
    <w:rsid w:val="3A9D2819"/>
    <w:rsid w:val="3C32D20F"/>
    <w:rsid w:val="3C3EAEB5"/>
    <w:rsid w:val="3CEEFC5D"/>
    <w:rsid w:val="3DE043BB"/>
    <w:rsid w:val="3E39268D"/>
    <w:rsid w:val="3E472119"/>
    <w:rsid w:val="3EBCA4DD"/>
    <w:rsid w:val="3F102691"/>
    <w:rsid w:val="3F6641DB"/>
    <w:rsid w:val="3FCB2D5B"/>
    <w:rsid w:val="407F58F4"/>
    <w:rsid w:val="40E22213"/>
    <w:rsid w:val="40EF3A1C"/>
    <w:rsid w:val="417411D1"/>
    <w:rsid w:val="42DA1ACF"/>
    <w:rsid w:val="43F7BA25"/>
    <w:rsid w:val="43FC474B"/>
    <w:rsid w:val="44CC6E35"/>
    <w:rsid w:val="44FDDB07"/>
    <w:rsid w:val="4535023B"/>
    <w:rsid w:val="4550298F"/>
    <w:rsid w:val="45590AB6"/>
    <w:rsid w:val="45A136CB"/>
    <w:rsid w:val="4614700B"/>
    <w:rsid w:val="466C45AD"/>
    <w:rsid w:val="4710C05D"/>
    <w:rsid w:val="47A63EC8"/>
    <w:rsid w:val="47A93FAF"/>
    <w:rsid w:val="47D51411"/>
    <w:rsid w:val="4850FC50"/>
    <w:rsid w:val="494F67AB"/>
    <w:rsid w:val="49A144E1"/>
    <w:rsid w:val="49CC80D8"/>
    <w:rsid w:val="49D45DB8"/>
    <w:rsid w:val="4A0B0A90"/>
    <w:rsid w:val="4B5B6BAD"/>
    <w:rsid w:val="4B6A5137"/>
    <w:rsid w:val="4BD35EEF"/>
    <w:rsid w:val="4D072EE4"/>
    <w:rsid w:val="4D691D1D"/>
    <w:rsid w:val="4DDA685F"/>
    <w:rsid w:val="4DFE6750"/>
    <w:rsid w:val="4E347C62"/>
    <w:rsid w:val="4E9022FC"/>
    <w:rsid w:val="4E907929"/>
    <w:rsid w:val="4E9C79E0"/>
    <w:rsid w:val="4EAB6381"/>
    <w:rsid w:val="4EC84111"/>
    <w:rsid w:val="504CF35F"/>
    <w:rsid w:val="50675920"/>
    <w:rsid w:val="508B7505"/>
    <w:rsid w:val="509E76AC"/>
    <w:rsid w:val="50B52C6C"/>
    <w:rsid w:val="50C1D1FE"/>
    <w:rsid w:val="51021035"/>
    <w:rsid w:val="52045BDA"/>
    <w:rsid w:val="527A5E9C"/>
    <w:rsid w:val="52CEB463"/>
    <w:rsid w:val="5427D05B"/>
    <w:rsid w:val="548D63DA"/>
    <w:rsid w:val="54DC4C6B"/>
    <w:rsid w:val="5527584B"/>
    <w:rsid w:val="5616C1B6"/>
    <w:rsid w:val="567EC938"/>
    <w:rsid w:val="56FD753C"/>
    <w:rsid w:val="57202AA2"/>
    <w:rsid w:val="57295622"/>
    <w:rsid w:val="574809AD"/>
    <w:rsid w:val="57CDE740"/>
    <w:rsid w:val="586122FD"/>
    <w:rsid w:val="5965F966"/>
    <w:rsid w:val="5971108F"/>
    <w:rsid w:val="5ABD553F"/>
    <w:rsid w:val="5B397093"/>
    <w:rsid w:val="5B5E8EAC"/>
    <w:rsid w:val="5B81B2EA"/>
    <w:rsid w:val="5CAB9968"/>
    <w:rsid w:val="5D903F4A"/>
    <w:rsid w:val="5E0B58A4"/>
    <w:rsid w:val="5EA26F25"/>
    <w:rsid w:val="5F7F161C"/>
    <w:rsid w:val="5F7FB92E"/>
    <w:rsid w:val="5FA56ECF"/>
    <w:rsid w:val="5FEBD31C"/>
    <w:rsid w:val="5FEF2CD7"/>
    <w:rsid w:val="602E4E24"/>
    <w:rsid w:val="6044E638"/>
    <w:rsid w:val="60FB4F69"/>
    <w:rsid w:val="60FBF0F7"/>
    <w:rsid w:val="61355E2F"/>
    <w:rsid w:val="61CDDF4C"/>
    <w:rsid w:val="61D45581"/>
    <w:rsid w:val="61E545C6"/>
    <w:rsid w:val="62C24169"/>
    <w:rsid w:val="62CF6F49"/>
    <w:rsid w:val="63636F83"/>
    <w:rsid w:val="636B7833"/>
    <w:rsid w:val="636E1AE1"/>
    <w:rsid w:val="637A0864"/>
    <w:rsid w:val="63B7CC7E"/>
    <w:rsid w:val="63C03269"/>
    <w:rsid w:val="648B21EB"/>
    <w:rsid w:val="64AAC824"/>
    <w:rsid w:val="64E14511"/>
    <w:rsid w:val="65EE7202"/>
    <w:rsid w:val="66CC6734"/>
    <w:rsid w:val="67B6499D"/>
    <w:rsid w:val="67BA0558"/>
    <w:rsid w:val="69BD50F9"/>
    <w:rsid w:val="69CF76A1"/>
    <w:rsid w:val="6A0B10BE"/>
    <w:rsid w:val="6A53302A"/>
    <w:rsid w:val="6C75D1FE"/>
    <w:rsid w:val="6CDA3D2E"/>
    <w:rsid w:val="6CEF4DF5"/>
    <w:rsid w:val="6D994B95"/>
    <w:rsid w:val="6E5F273D"/>
    <w:rsid w:val="6EC0A192"/>
    <w:rsid w:val="6ECFCDD7"/>
    <w:rsid w:val="6FAAB915"/>
    <w:rsid w:val="70309639"/>
    <w:rsid w:val="70370356"/>
    <w:rsid w:val="71640E01"/>
    <w:rsid w:val="71860080"/>
    <w:rsid w:val="71BE777B"/>
    <w:rsid w:val="7225F02E"/>
    <w:rsid w:val="72732DA0"/>
    <w:rsid w:val="72DD347A"/>
    <w:rsid w:val="72E4B37A"/>
    <w:rsid w:val="72F07E08"/>
    <w:rsid w:val="73293B46"/>
    <w:rsid w:val="734C7A74"/>
    <w:rsid w:val="736F1530"/>
    <w:rsid w:val="73F423CB"/>
    <w:rsid w:val="742B19A4"/>
    <w:rsid w:val="746639EF"/>
    <w:rsid w:val="74A81F40"/>
    <w:rsid w:val="74D7B59E"/>
    <w:rsid w:val="74E9DBB4"/>
    <w:rsid w:val="74EFEE4D"/>
    <w:rsid w:val="74FB1402"/>
    <w:rsid w:val="75657F46"/>
    <w:rsid w:val="75832198"/>
    <w:rsid w:val="766C39F0"/>
    <w:rsid w:val="76DFDAE0"/>
    <w:rsid w:val="777B61D9"/>
    <w:rsid w:val="77964472"/>
    <w:rsid w:val="77ABE231"/>
    <w:rsid w:val="77D21E13"/>
    <w:rsid w:val="77FB40DA"/>
    <w:rsid w:val="78182608"/>
    <w:rsid w:val="7878324E"/>
    <w:rsid w:val="7966338B"/>
    <w:rsid w:val="79AA4754"/>
    <w:rsid w:val="79EC526D"/>
    <w:rsid w:val="7A91E411"/>
    <w:rsid w:val="7A9F37E2"/>
    <w:rsid w:val="7AD565AB"/>
    <w:rsid w:val="7B1F5CAB"/>
    <w:rsid w:val="7B4F4B07"/>
    <w:rsid w:val="7B6F9BE6"/>
    <w:rsid w:val="7B83C72C"/>
    <w:rsid w:val="7BBE0C1A"/>
    <w:rsid w:val="7C07A89B"/>
    <w:rsid w:val="7CDF6198"/>
    <w:rsid w:val="7CDFAAB2"/>
    <w:rsid w:val="7CE309DD"/>
    <w:rsid w:val="7D5D253D"/>
    <w:rsid w:val="7DB65EF3"/>
    <w:rsid w:val="7DEAFBE4"/>
    <w:rsid w:val="7DFD55CC"/>
    <w:rsid w:val="7E0B4BF6"/>
    <w:rsid w:val="7E7FDA45"/>
    <w:rsid w:val="7EA9110F"/>
    <w:rsid w:val="7F09A0A5"/>
    <w:rsid w:val="7F231565"/>
    <w:rsid w:val="7F383C22"/>
    <w:rsid w:val="7F3EEC6E"/>
    <w:rsid w:val="7F437511"/>
    <w:rsid w:val="7F655A60"/>
    <w:rsid w:val="7F7F915E"/>
    <w:rsid w:val="7FE824EC"/>
    <w:rsid w:val="7FEF0411"/>
    <w:rsid w:val="7FFEEF45"/>
    <w:rsid w:val="7FFF1A6C"/>
    <w:rsid w:val="7FFFA0DA"/>
    <w:rsid w:val="803D47C9"/>
    <w:rsid w:val="80492286"/>
    <w:rsid w:val="81121B22"/>
    <w:rsid w:val="83636AE1"/>
    <w:rsid w:val="84DD20A1"/>
    <w:rsid w:val="85BCD0F4"/>
    <w:rsid w:val="85D13E2D"/>
    <w:rsid w:val="8663198F"/>
    <w:rsid w:val="869461D5"/>
    <w:rsid w:val="884F9FA7"/>
    <w:rsid w:val="8B3CCDF2"/>
    <w:rsid w:val="8B7FEFDD"/>
    <w:rsid w:val="8CCBBFFA"/>
    <w:rsid w:val="8CD0E53E"/>
    <w:rsid w:val="8CF6DBB9"/>
    <w:rsid w:val="8EB6889E"/>
    <w:rsid w:val="8FB0B716"/>
    <w:rsid w:val="9080642F"/>
    <w:rsid w:val="909290FD"/>
    <w:rsid w:val="91628B67"/>
    <w:rsid w:val="91ABD0B4"/>
    <w:rsid w:val="91EBAE43"/>
    <w:rsid w:val="92A9784C"/>
    <w:rsid w:val="9448F614"/>
    <w:rsid w:val="95470C6E"/>
    <w:rsid w:val="98C390EA"/>
    <w:rsid w:val="993F2F92"/>
    <w:rsid w:val="9A536287"/>
    <w:rsid w:val="9D1EA0BD"/>
    <w:rsid w:val="9DB6D16A"/>
    <w:rsid w:val="9DFB91A4"/>
    <w:rsid w:val="9DFD6646"/>
    <w:rsid w:val="9FD504CC"/>
    <w:rsid w:val="9FE7FB44"/>
    <w:rsid w:val="A0380C7E"/>
    <w:rsid w:val="A153DB4B"/>
    <w:rsid w:val="A18BDCD9"/>
    <w:rsid w:val="A4C44909"/>
    <w:rsid w:val="A588A7CF"/>
    <w:rsid w:val="A5B73748"/>
    <w:rsid w:val="A6B6FA2E"/>
    <w:rsid w:val="A82E0C80"/>
    <w:rsid w:val="A84FC559"/>
    <w:rsid w:val="A86F0FC6"/>
    <w:rsid w:val="A8761E0B"/>
    <w:rsid w:val="A88E409C"/>
    <w:rsid w:val="AC26C854"/>
    <w:rsid w:val="AC2E1C6E"/>
    <w:rsid w:val="AC49603C"/>
    <w:rsid w:val="AC7038C9"/>
    <w:rsid w:val="AC77C2CD"/>
    <w:rsid w:val="AD5B94E4"/>
    <w:rsid w:val="ADAB1968"/>
    <w:rsid w:val="AFC51C5B"/>
    <w:rsid w:val="B06F64F8"/>
    <w:rsid w:val="B1160BDF"/>
    <w:rsid w:val="B14A2246"/>
    <w:rsid w:val="B3AB23CD"/>
    <w:rsid w:val="B3CC15F7"/>
    <w:rsid w:val="B521F946"/>
    <w:rsid w:val="B53A0CDD"/>
    <w:rsid w:val="B54BD0E2"/>
    <w:rsid w:val="B57A20B7"/>
    <w:rsid w:val="B746AF25"/>
    <w:rsid w:val="B7746639"/>
    <w:rsid w:val="B851124E"/>
    <w:rsid w:val="B8D09C20"/>
    <w:rsid w:val="BAE70469"/>
    <w:rsid w:val="BD416554"/>
    <w:rsid w:val="BD60B761"/>
    <w:rsid w:val="BD85FF3E"/>
    <w:rsid w:val="BF36F2CA"/>
    <w:rsid w:val="C1FA2093"/>
    <w:rsid w:val="C27D4B3A"/>
    <w:rsid w:val="C3D42BB3"/>
    <w:rsid w:val="C4566510"/>
    <w:rsid w:val="C5360236"/>
    <w:rsid w:val="C5DF74DC"/>
    <w:rsid w:val="C76F8291"/>
    <w:rsid w:val="C8487989"/>
    <w:rsid w:val="C86FDCF6"/>
    <w:rsid w:val="C89D1A4E"/>
    <w:rsid w:val="C8DE3C4F"/>
    <w:rsid w:val="C9C9E928"/>
    <w:rsid w:val="CA3F5BB7"/>
    <w:rsid w:val="CA807A8B"/>
    <w:rsid w:val="CA81EA65"/>
    <w:rsid w:val="CBA01CD0"/>
    <w:rsid w:val="CC5272FA"/>
    <w:rsid w:val="CD46A9AE"/>
    <w:rsid w:val="CDADF1BF"/>
    <w:rsid w:val="CE4E6789"/>
    <w:rsid w:val="CE7D6602"/>
    <w:rsid w:val="CF06B663"/>
    <w:rsid w:val="CFBECD6F"/>
    <w:rsid w:val="CFBEF831"/>
    <w:rsid w:val="D0EC6A65"/>
    <w:rsid w:val="D1013318"/>
    <w:rsid w:val="D3854494"/>
    <w:rsid w:val="D4540880"/>
    <w:rsid w:val="D49A06AC"/>
    <w:rsid w:val="D544F053"/>
    <w:rsid w:val="D6C0631A"/>
    <w:rsid w:val="D6DD1C72"/>
    <w:rsid w:val="D7EEB552"/>
    <w:rsid w:val="D7EF7A04"/>
    <w:rsid w:val="D7FB14FF"/>
    <w:rsid w:val="D82F1844"/>
    <w:rsid w:val="DA278FB4"/>
    <w:rsid w:val="DA4BAEC0"/>
    <w:rsid w:val="DB1B3250"/>
    <w:rsid w:val="DB4B7C65"/>
    <w:rsid w:val="DD296F82"/>
    <w:rsid w:val="DD822986"/>
    <w:rsid w:val="DDFC1283"/>
    <w:rsid w:val="DE1A28EB"/>
    <w:rsid w:val="DE317E53"/>
    <w:rsid w:val="DEFF5D7B"/>
    <w:rsid w:val="DF001B2D"/>
    <w:rsid w:val="DF0574B8"/>
    <w:rsid w:val="DF4EF24C"/>
    <w:rsid w:val="DF5AEB46"/>
    <w:rsid w:val="E067A8E7"/>
    <w:rsid w:val="E0711F32"/>
    <w:rsid w:val="E09D5FAF"/>
    <w:rsid w:val="E1030458"/>
    <w:rsid w:val="E17238EA"/>
    <w:rsid w:val="E1E981D1"/>
    <w:rsid w:val="E2679B6E"/>
    <w:rsid w:val="E315A825"/>
    <w:rsid w:val="E38147FD"/>
    <w:rsid w:val="E40E33E0"/>
    <w:rsid w:val="E42EDA45"/>
    <w:rsid w:val="E46BEBF9"/>
    <w:rsid w:val="E494AA54"/>
    <w:rsid w:val="E75C7D23"/>
    <w:rsid w:val="E78749E0"/>
    <w:rsid w:val="E7DF44F3"/>
    <w:rsid w:val="E8E9F43B"/>
    <w:rsid w:val="EB2B839C"/>
    <w:rsid w:val="EB2E4916"/>
    <w:rsid w:val="EBA5AF55"/>
    <w:rsid w:val="EBBF8796"/>
    <w:rsid w:val="EBEFD794"/>
    <w:rsid w:val="ECDD19C3"/>
    <w:rsid w:val="EE6B4578"/>
    <w:rsid w:val="EE860B19"/>
    <w:rsid w:val="EEA00AB1"/>
    <w:rsid w:val="EEBB4D64"/>
    <w:rsid w:val="EF7B5C90"/>
    <w:rsid w:val="EF7F90F0"/>
    <w:rsid w:val="EFD3F150"/>
    <w:rsid w:val="EFD448A6"/>
    <w:rsid w:val="EFD793D8"/>
    <w:rsid w:val="EFEE51F2"/>
    <w:rsid w:val="EFFFB48C"/>
    <w:rsid w:val="F025BE91"/>
    <w:rsid w:val="F02B753F"/>
    <w:rsid w:val="F0F2FBF9"/>
    <w:rsid w:val="F12BDAFB"/>
    <w:rsid w:val="F132A82C"/>
    <w:rsid w:val="F1C7DFFC"/>
    <w:rsid w:val="F26CE601"/>
    <w:rsid w:val="F4FF7340"/>
    <w:rsid w:val="F587CC8C"/>
    <w:rsid w:val="F6BF1E0A"/>
    <w:rsid w:val="F72D5546"/>
    <w:rsid w:val="F7DFB42C"/>
    <w:rsid w:val="F7FD58E5"/>
    <w:rsid w:val="F903A6D2"/>
    <w:rsid w:val="F9C2CB1B"/>
    <w:rsid w:val="FA21BA0E"/>
    <w:rsid w:val="FA8E0DAB"/>
    <w:rsid w:val="FABE1C43"/>
    <w:rsid w:val="FBC9A816"/>
    <w:rsid w:val="FBEDE4B4"/>
    <w:rsid w:val="FBF7182D"/>
    <w:rsid w:val="FC9EEAF5"/>
    <w:rsid w:val="FCB785F0"/>
    <w:rsid w:val="FD9FC4E6"/>
    <w:rsid w:val="FF2BC88D"/>
    <w:rsid w:val="FF3D1A56"/>
    <w:rsid w:val="FF68010F"/>
    <w:rsid w:val="FF7776F9"/>
    <w:rsid w:val="FF7EDDA9"/>
    <w:rsid w:val="FF95ED49"/>
    <w:rsid w:val="FFADD453"/>
    <w:rsid w:val="FFB70A1E"/>
    <w:rsid w:val="FFCC6BA8"/>
    <w:rsid w:val="FFCD75B8"/>
    <w:rsid w:val="FFD812FD"/>
    <w:rsid w:val="FFE983B7"/>
    <w:rsid w:val="FFFD4151"/>
  </w:rsids>
  <m:mathPr>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semiHidden="0" w:name="Default Paragraph Font"/>
    <w:lsdException w:qFormat="1" w:unhideWhenUsed="0" w:uiPriority="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semiHidden="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eastAsia="仿宋_GB2312"/>
      <w:kern w:val="2"/>
      <w:sz w:val="32"/>
      <w:szCs w:val="24"/>
      <w:lang w:val="en-US" w:eastAsia="zh-CN" w:bidi="ar-SA"/>
    </w:rPr>
  </w:style>
  <w:style w:type="paragraph" w:styleId="2">
    <w:name w:val="heading 1"/>
    <w:basedOn w:val="1"/>
    <w:next w:val="1"/>
    <w:qFormat/>
    <w:uiPriority w:val="0"/>
    <w:pPr>
      <w:keepNext/>
      <w:keepLines/>
      <w:spacing w:before="340" w:beforeLines="0" w:beforeAutospacing="0" w:after="330" w:afterLines="0" w:afterAutospacing="0" w:line="576" w:lineRule="auto"/>
      <w:outlineLvl w:val="0"/>
    </w:pPr>
    <w:rPr>
      <w:b/>
      <w:kern w:val="44"/>
      <w:sz w:val="44"/>
    </w:rPr>
  </w:style>
  <w:style w:type="paragraph" w:styleId="3">
    <w:name w:val="heading 2"/>
    <w:basedOn w:val="1"/>
    <w:next w:val="1"/>
    <w:link w:val="15"/>
    <w:unhideWhenUsed/>
    <w:qFormat/>
    <w:uiPriority w:val="0"/>
    <w:pPr>
      <w:keepNext/>
      <w:keepLines/>
      <w:spacing w:before="260" w:beforeLines="0" w:beforeAutospacing="0" w:after="260" w:afterLines="0" w:afterAutospacing="0" w:line="413" w:lineRule="auto"/>
      <w:outlineLvl w:val="1"/>
    </w:pPr>
    <w:rPr>
      <w:rFonts w:ascii="Arial" w:hAnsi="Arial" w:eastAsia="黑体"/>
      <w:b/>
      <w:sz w:val="32"/>
    </w:rPr>
  </w:style>
  <w:style w:type="character" w:default="1" w:styleId="12">
    <w:name w:val="Default Paragraph Font"/>
    <w:uiPriority w:val="0"/>
    <w:rPr>
      <w:rFonts w:ascii="Times New Roman" w:hAnsi="Times New Roman" w:eastAsia="宋体" w:cs="Times New Roman"/>
    </w:rPr>
  </w:style>
  <w:style w:type="table" w:default="1" w:styleId="10">
    <w:name w:val="Normal Table"/>
    <w:uiPriority w:val="0"/>
    <w:rPr>
      <w:rFonts w:ascii="Times New Roman" w:hAnsi="Times New Roman" w:eastAsia="宋体" w:cs="Times New Roman"/>
    </w:rPr>
    <w:tblPr>
      <w:tblStyle w:val="10"/>
      <w:tblCellMar>
        <w:top w:w="0" w:type="dxa"/>
        <w:left w:w="108" w:type="dxa"/>
        <w:bottom w:w="0" w:type="dxa"/>
        <w:right w:w="108" w:type="dxa"/>
      </w:tblCellMar>
    </w:tblPr>
  </w:style>
  <w:style w:type="paragraph" w:styleId="4">
    <w:name w:val="Body Text"/>
    <w:basedOn w:val="1"/>
    <w:semiHidden/>
    <w:qFormat/>
    <w:uiPriority w:val="0"/>
    <w:rPr>
      <w:rFonts w:ascii="宋体" w:hAnsi="宋体" w:eastAsia="宋体" w:cs="宋体"/>
      <w:sz w:val="31"/>
      <w:szCs w:val="31"/>
      <w:lang w:val="en-US" w:eastAsia="en-US" w:bidi="ar-SA"/>
    </w:rPr>
  </w:style>
  <w:style w:type="paragraph" w:styleId="5">
    <w:name w:val="Plain Text"/>
    <w:basedOn w:val="1"/>
    <w:uiPriority w:val="0"/>
    <w:rPr>
      <w:rFonts w:ascii="宋体" w:hAnsi="Courier New" w:eastAsia="宋体" w:cs="Courier New"/>
      <w:szCs w:val="21"/>
    </w:rPr>
  </w:style>
  <w:style w:type="paragraph" w:styleId="6">
    <w:name w:val="Date"/>
    <w:basedOn w:val="1"/>
    <w:next w:val="1"/>
    <w:uiPriority w:val="0"/>
    <w:pPr>
      <w:ind w:left="100" w:leftChars="2500"/>
    </w:pPr>
    <w:rPr>
      <w:rFonts w:ascii="Times New Roman" w:hAnsi="Times New Roman" w:eastAsia="宋体" w:cs="Times New Roman"/>
    </w:rPr>
  </w:style>
  <w:style w:type="paragraph" w:styleId="7">
    <w:name w:val="Balloon Text"/>
    <w:basedOn w:val="1"/>
    <w:uiPriority w:val="0"/>
    <w:rPr>
      <w:rFonts w:ascii="Times New Roman" w:hAnsi="Times New Roman" w:eastAsia="宋体" w:cs="Times New Roman"/>
      <w:sz w:val="18"/>
      <w:szCs w:val="18"/>
    </w:rPr>
  </w:style>
  <w:style w:type="paragraph" w:styleId="8">
    <w:name w:val="footer"/>
    <w:basedOn w:val="1"/>
    <w:uiPriority w:val="0"/>
    <w:pPr>
      <w:tabs>
        <w:tab w:val="center" w:pos="4153"/>
        <w:tab w:val="right" w:pos="8306"/>
      </w:tabs>
      <w:snapToGrid w:val="0"/>
      <w:jc w:val="left"/>
    </w:pPr>
    <w:rPr>
      <w:rFonts w:ascii="Times New Roman" w:hAnsi="Times New Roman" w:eastAsia="宋体" w:cs="Times New Roman"/>
      <w:sz w:val="18"/>
      <w:szCs w:val="18"/>
    </w:rPr>
  </w:style>
  <w:style w:type="paragraph" w:styleId="9">
    <w:name w:val="header"/>
    <w:basedOn w:val="1"/>
    <w:link w:val="16"/>
    <w:uiPriority w:val="0"/>
    <w:pPr>
      <w:pBdr>
        <w:bottom w:val="single" w:color="auto" w:sz="6" w:space="1"/>
      </w:pBdr>
      <w:tabs>
        <w:tab w:val="center" w:pos="4153"/>
        <w:tab w:val="right" w:pos="8306"/>
      </w:tabs>
      <w:snapToGrid w:val="0"/>
      <w:jc w:val="center"/>
    </w:pPr>
    <w:rPr>
      <w:sz w:val="18"/>
      <w:szCs w:val="18"/>
    </w:rPr>
  </w:style>
  <w:style w:type="table" w:styleId="11">
    <w:name w:val="Table Grid"/>
    <w:basedOn w:val="10"/>
    <w:qFormat/>
    <w:uiPriority w:val="0"/>
    <w:pPr>
      <w:widowControl w:val="0"/>
      <w:jc w:val="both"/>
    </w:pPr>
    <w:tblPr>
      <w:tblStyle w:val="10"/>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3">
    <w:name w:val="Strong"/>
    <w:qFormat/>
    <w:uiPriority w:val="0"/>
    <w:rPr>
      <w:rFonts w:ascii="Times New Roman" w:hAnsi="Times New Roman" w:eastAsia="宋体" w:cs="Times New Roman"/>
      <w:b/>
      <w:bCs/>
    </w:rPr>
  </w:style>
  <w:style w:type="character" w:styleId="14">
    <w:name w:val="page number"/>
    <w:uiPriority w:val="0"/>
    <w:rPr>
      <w:rFonts w:ascii="Times New Roman" w:hAnsi="Times New Roman" w:eastAsia="宋体" w:cs="Times New Roman"/>
    </w:rPr>
  </w:style>
  <w:style w:type="character" w:customStyle="1" w:styleId="15">
    <w:name w:val="标题 2 Char"/>
    <w:link w:val="3"/>
    <w:uiPriority w:val="0"/>
    <w:rPr>
      <w:rFonts w:ascii="Arial" w:hAnsi="Arial" w:eastAsia="黑体"/>
      <w:b/>
      <w:sz w:val="32"/>
    </w:rPr>
  </w:style>
  <w:style w:type="character" w:customStyle="1" w:styleId="16">
    <w:name w:val="页眉 字符"/>
    <w:link w:val="9"/>
    <w:uiPriority w:val="0"/>
    <w:rPr>
      <w:rFonts w:ascii="Times New Roman" w:hAnsi="Times New Roman" w:eastAsia="仿宋_GB2312" w:cs="Times New Roman"/>
      <w:kern w:val="2"/>
      <w:sz w:val="18"/>
      <w:szCs w:val="18"/>
    </w:rPr>
  </w:style>
  <w:style w:type="paragraph" w:customStyle="1" w:styleId="17">
    <w:name w:val="Char Char Char Char Char Char Char"/>
    <w:basedOn w:val="1"/>
    <w:uiPriority w:val="0"/>
    <w:rPr>
      <w:rFonts w:ascii="Times New Roman" w:hAnsi="Times New Roman" w:eastAsia="宋体" w:cs="Times New Roman"/>
      <w:szCs w:val="21"/>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true">
          <a:gsLst>
            <a:gs pos="0">
              <a:schemeClr val="phClr">
                <a:tint val="50000"/>
                <a:satMod val="300000"/>
              </a:schemeClr>
            </a:gs>
            <a:gs pos="35000">
              <a:schemeClr val="phClr">
                <a:tint val="37000"/>
                <a:satMod val="300000"/>
              </a:schemeClr>
            </a:gs>
            <a:gs pos="100000">
              <a:schemeClr val="phClr">
                <a:tint val="15000"/>
                <a:satMod val="350000"/>
              </a:schemeClr>
            </a:gs>
          </a:gsLst>
          <a:lin ang="16200000" scaled="true"/>
        </a:gradFill>
        <a:gradFill rotWithShape="true">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false"/>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true">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true">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微软中国</Company>
  <Pages>14</Pages>
  <Words>5997</Words>
  <Characters>6374</Characters>
  <Lines>42</Lines>
  <Paragraphs>12</Paragraphs>
  <TotalTime>45.6666666666667</TotalTime>
  <ScaleCrop>false</ScaleCrop>
  <LinksUpToDate>false</LinksUpToDate>
  <CharactersWithSpaces>6395</CharactersWithSpaces>
  <Application>WPS Office_11.8.2.10386_F1E327BC-269C-435d-A152-05C5408002CA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2015-03-14T00:29:00Z</dcterms:created>
  <dc:creator>黄菱</dc:creator>
  <cp:lastModifiedBy>资源</cp:lastModifiedBy>
  <cp:lastPrinted>2018-03-04T01:26:00Z</cp:lastPrinted>
  <dcterms:modified xsi:type="dcterms:W3CDTF">2026-03-17T15:41:44Z</dcterms:modified>
  <dc:title>广西壮族自治区财政厅2014年部门预算</dc:title>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2052-11.8.2.10386</vt:lpwstr>
  </property>
  <property fmtid="{D5CDD505-2E9C-101B-9397-08002B2CF9AE}" pid="3" name="ICV">
    <vt:lpwstr>D49F95A5C28B4E9BA6F11DA196CFC006_13</vt:lpwstr>
  </property>
  <property fmtid="{D5CDD505-2E9C-101B-9397-08002B2CF9AE}" pid="4" name="KSOTemplateDocerSaveRecord">
    <vt:lpwstr>eyJoZGlkIjoiZjFiMmQxMjExNWVjMWJiY2ViMDM0M2E5ZDk0MTFmOWMiLCJ1c2VySWQiOiI0NTgwMzUzMDEifQ==</vt:lpwstr>
  </property>
</Properties>
</file>