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182E46">
      <w:pPr>
        <w:jc w:val="center"/>
        <w:rPr>
          <w:rFonts w:ascii="方正小标宋简体" w:eastAsia="方正小标宋简体" w:cs="ArialUnicodeMS"/>
          <w:kern w:val="0"/>
          <w:sz w:val="52"/>
          <w:szCs w:val="52"/>
        </w:rPr>
      </w:pPr>
      <w:bookmarkStart w:id="1" w:name="_GoBack"/>
      <w:bookmarkEnd w:id="1"/>
    </w:p>
    <w:p w14:paraId="0214C651">
      <w:pPr>
        <w:jc w:val="center"/>
        <w:rPr>
          <w:rFonts w:ascii="方正小标宋简体" w:eastAsia="方正小标宋简体" w:cs="ArialUnicodeMS"/>
          <w:kern w:val="0"/>
          <w:sz w:val="52"/>
          <w:szCs w:val="52"/>
        </w:rPr>
      </w:pPr>
    </w:p>
    <w:p w14:paraId="4547FE4E">
      <w:pPr>
        <w:jc w:val="center"/>
        <w:rPr>
          <w:rFonts w:ascii="方正小标宋简体" w:eastAsia="方正小标宋简体" w:cs="ArialUnicodeMS"/>
          <w:kern w:val="0"/>
          <w:sz w:val="52"/>
          <w:szCs w:val="52"/>
        </w:rPr>
      </w:pPr>
    </w:p>
    <w:p w14:paraId="589DEF30">
      <w:pPr>
        <w:jc w:val="center"/>
        <w:rPr>
          <w:rFonts w:ascii="方正小标宋简体" w:hAnsi="黑体" w:eastAsia="方正小标宋简体"/>
          <w:bCs/>
          <w:color w:val="000000"/>
          <w:sz w:val="52"/>
          <w:szCs w:val="52"/>
        </w:rPr>
      </w:pPr>
      <w:r>
        <w:rPr>
          <w:rFonts w:hint="eastAsia" w:ascii="方正小标宋简体" w:eastAsia="方正小标宋简体" w:cs="ArialUnicodeMS"/>
          <w:kern w:val="0"/>
          <w:sz w:val="52"/>
          <w:szCs w:val="52"/>
        </w:rPr>
        <w:t>广西壮族自治区</w:t>
      </w:r>
      <w:r>
        <w:rPr>
          <w:rFonts w:hint="eastAsia" w:ascii="方正小标宋简体" w:hAnsi="黑体" w:eastAsia="方正小标宋简体"/>
          <w:bCs/>
          <w:color w:val="000000"/>
          <w:sz w:val="52"/>
          <w:szCs w:val="52"/>
        </w:rPr>
        <w:t xml:space="preserve">恭城公路养护中心 </w:t>
      </w:r>
    </w:p>
    <w:p w14:paraId="26642BE3">
      <w:pPr>
        <w:jc w:val="center"/>
        <w:rPr>
          <w:rFonts w:ascii="方正小标宋简体" w:eastAsia="方正小标宋简体" w:cs="ArialUnicodeMS"/>
          <w:kern w:val="0"/>
          <w:sz w:val="52"/>
          <w:szCs w:val="52"/>
        </w:rPr>
      </w:pPr>
      <w:r>
        <w:rPr>
          <w:rFonts w:hint="eastAsia" w:ascii="方正小标宋简体" w:eastAsia="方正小标宋简体"/>
          <w:kern w:val="0"/>
          <w:sz w:val="52"/>
          <w:szCs w:val="52"/>
        </w:rPr>
        <w:t>2024</w:t>
      </w:r>
      <w:r>
        <w:rPr>
          <w:rFonts w:hint="eastAsia" w:ascii="方正小标宋简体" w:eastAsia="方正小标宋简体" w:cs="ArialUnicodeMS"/>
          <w:kern w:val="0"/>
          <w:sz w:val="52"/>
          <w:szCs w:val="52"/>
        </w:rPr>
        <w:t>年度部门决算</w:t>
      </w:r>
    </w:p>
    <w:p w14:paraId="270974C0">
      <w:pPr>
        <w:rPr>
          <w:rFonts w:ascii="方正小标宋简体" w:eastAsia="方正小标宋简体" w:cs="ArialUnicodeMS"/>
          <w:kern w:val="0"/>
          <w:sz w:val="84"/>
          <w:szCs w:val="84"/>
        </w:rPr>
      </w:pPr>
    </w:p>
    <w:p w14:paraId="3D5F2524">
      <w:pPr>
        <w:rPr>
          <w:rFonts w:ascii="ArialUnicodeMS" w:eastAsia="ArialUnicodeMS" w:cs="ArialUnicodeMS"/>
          <w:kern w:val="0"/>
          <w:sz w:val="84"/>
          <w:szCs w:val="84"/>
        </w:rPr>
      </w:pPr>
    </w:p>
    <w:p w14:paraId="77428F37">
      <w:pPr>
        <w:rPr>
          <w:rFonts w:ascii="ArialUnicodeMS" w:eastAsia="ArialUnicodeMS" w:cs="ArialUnicodeMS"/>
          <w:kern w:val="0"/>
          <w:sz w:val="84"/>
          <w:szCs w:val="84"/>
        </w:rPr>
      </w:pPr>
    </w:p>
    <w:p w14:paraId="7F1658F3">
      <w:pPr>
        <w:rPr>
          <w:rFonts w:ascii="ArialUnicodeMS" w:eastAsia="ArialUnicodeMS" w:cs="ArialUnicodeMS"/>
          <w:kern w:val="0"/>
          <w:sz w:val="84"/>
          <w:szCs w:val="84"/>
        </w:rPr>
      </w:pPr>
    </w:p>
    <w:p w14:paraId="21B0F055">
      <w:pPr>
        <w:rPr>
          <w:rFonts w:ascii="ArialUnicodeMS" w:eastAsia="ArialUnicodeMS" w:cs="ArialUnicodeMS"/>
          <w:kern w:val="0"/>
          <w:sz w:val="84"/>
          <w:szCs w:val="84"/>
        </w:rPr>
      </w:pPr>
    </w:p>
    <w:p w14:paraId="1D72C183">
      <w:pPr>
        <w:jc w:val="center"/>
        <w:rPr>
          <w:rFonts w:ascii="黑体" w:eastAsia="黑体" w:cs="黑体"/>
          <w:kern w:val="0"/>
          <w:sz w:val="44"/>
          <w:szCs w:val="44"/>
        </w:rPr>
      </w:pPr>
    </w:p>
    <w:p w14:paraId="037F3E49">
      <w:pPr>
        <w:jc w:val="center"/>
        <w:rPr>
          <w:rFonts w:ascii="黑体" w:eastAsia="黑体" w:cs="黑体"/>
          <w:kern w:val="0"/>
          <w:sz w:val="44"/>
          <w:szCs w:val="44"/>
        </w:rPr>
      </w:pPr>
    </w:p>
    <w:p w14:paraId="1C9B559A">
      <w:pPr>
        <w:spacing w:line="560" w:lineRule="exact"/>
        <w:ind w:firstLine="646"/>
        <w:jc w:val="center"/>
        <w:rPr>
          <w:rFonts w:ascii="方正小标宋简体" w:eastAsia="方正小标宋简体"/>
          <w:b/>
          <w:sz w:val="44"/>
          <w:szCs w:val="44"/>
        </w:rPr>
      </w:pPr>
    </w:p>
    <w:p w14:paraId="19B576D4">
      <w:pPr>
        <w:spacing w:line="560" w:lineRule="exact"/>
        <w:ind w:firstLine="646"/>
        <w:jc w:val="center"/>
        <w:rPr>
          <w:rFonts w:ascii="方正小标宋简体" w:eastAsia="方正小标宋简体"/>
          <w:b/>
          <w:sz w:val="44"/>
          <w:szCs w:val="44"/>
        </w:rPr>
      </w:pPr>
    </w:p>
    <w:p w14:paraId="3F78CE6B">
      <w:pPr>
        <w:spacing w:line="560" w:lineRule="exact"/>
        <w:ind w:firstLine="646"/>
        <w:jc w:val="center"/>
        <w:rPr>
          <w:rFonts w:ascii="方正小标宋简体" w:eastAsia="方正小标宋简体"/>
          <w:b/>
          <w:sz w:val="44"/>
          <w:szCs w:val="44"/>
        </w:rPr>
      </w:pPr>
      <w:r>
        <w:rPr>
          <w:rFonts w:hint="eastAsia" w:ascii="方正小标宋简体" w:eastAsia="方正小标宋简体"/>
          <w:b/>
          <w:sz w:val="44"/>
          <w:szCs w:val="44"/>
        </w:rPr>
        <w:t>目    录</w:t>
      </w:r>
    </w:p>
    <w:p w14:paraId="33657B2D">
      <w:pPr>
        <w:spacing w:line="560" w:lineRule="exact"/>
        <w:ind w:firstLine="645"/>
        <w:rPr>
          <w:rFonts w:ascii="仿宋_GB2312" w:eastAsia="仿宋_GB2312"/>
          <w:b/>
          <w:sz w:val="32"/>
          <w:szCs w:val="32"/>
        </w:rPr>
      </w:pPr>
    </w:p>
    <w:p w14:paraId="5D34741F">
      <w:pPr>
        <w:spacing w:line="560" w:lineRule="exact"/>
        <w:ind w:firstLine="645"/>
        <w:rPr>
          <w:rFonts w:ascii="黑体" w:hAnsi="黑体" w:eastAsia="黑体"/>
          <w:sz w:val="32"/>
          <w:szCs w:val="32"/>
        </w:rPr>
      </w:pPr>
      <w:r>
        <w:rPr>
          <w:rFonts w:hint="eastAsia" w:ascii="黑体" w:hAnsi="黑体" w:eastAsia="黑体"/>
          <w:sz w:val="32"/>
          <w:szCs w:val="32"/>
        </w:rPr>
        <w:t>第一部分：</w:t>
      </w:r>
      <w:r>
        <w:rPr>
          <w:rFonts w:hint="eastAsia" w:ascii="黑体" w:hAnsi="黑体" w:eastAsia="黑体"/>
          <w:bCs w:val="0"/>
          <w:color w:val="auto"/>
          <w:sz w:val="32"/>
          <w:szCs w:val="32"/>
          <w:u w:val="none"/>
        </w:rPr>
        <w:t>广西壮族自治区恭城公路养护中心</w:t>
      </w:r>
      <w:r>
        <w:rPr>
          <w:rFonts w:hint="eastAsia" w:ascii="黑体" w:hAnsi="黑体" w:eastAsia="黑体"/>
          <w:sz w:val="32"/>
          <w:szCs w:val="32"/>
        </w:rPr>
        <w:t>概况</w:t>
      </w:r>
    </w:p>
    <w:p w14:paraId="7EE81FBD">
      <w:pPr>
        <w:spacing w:line="560" w:lineRule="exact"/>
        <w:ind w:firstLine="645"/>
        <w:rPr>
          <w:rFonts w:ascii="仿宋_GB2312" w:eastAsia="仿宋_GB2312"/>
          <w:sz w:val="32"/>
          <w:szCs w:val="32"/>
        </w:rPr>
      </w:pPr>
      <w:r>
        <w:rPr>
          <w:rFonts w:hint="eastAsia" w:ascii="仿宋_GB2312" w:eastAsia="仿宋_GB2312"/>
          <w:sz w:val="32"/>
          <w:szCs w:val="32"/>
        </w:rPr>
        <w:t>一、本单位职责</w:t>
      </w:r>
    </w:p>
    <w:p w14:paraId="4B54141D">
      <w:pPr>
        <w:spacing w:line="560" w:lineRule="exact"/>
        <w:ind w:firstLine="645"/>
        <w:rPr>
          <w:rFonts w:ascii="仿宋_GB2312" w:eastAsia="仿宋_GB2312"/>
          <w:sz w:val="32"/>
          <w:szCs w:val="32"/>
        </w:rPr>
      </w:pPr>
      <w:r>
        <w:rPr>
          <w:rFonts w:hint="eastAsia" w:ascii="仿宋_GB2312" w:eastAsia="仿宋_GB2312"/>
          <w:sz w:val="32"/>
          <w:szCs w:val="32"/>
        </w:rPr>
        <w:t>二、机构设置情况</w:t>
      </w:r>
    </w:p>
    <w:p w14:paraId="59A53424">
      <w:pPr>
        <w:spacing w:line="560" w:lineRule="exact"/>
        <w:ind w:firstLine="645"/>
        <w:rPr>
          <w:rFonts w:ascii="黑体" w:hAnsi="黑体" w:eastAsia="黑体"/>
          <w:sz w:val="32"/>
          <w:szCs w:val="32"/>
        </w:rPr>
      </w:pPr>
      <w:r>
        <w:rPr>
          <w:rFonts w:hint="eastAsia" w:ascii="黑体" w:hAnsi="黑体" w:eastAsia="黑体"/>
          <w:sz w:val="32"/>
          <w:szCs w:val="32"/>
        </w:rPr>
        <w:t>第二部分：</w:t>
      </w:r>
      <w:r>
        <w:rPr>
          <w:rFonts w:hint="eastAsia" w:ascii="黑体" w:hAnsi="黑体" w:eastAsia="黑体"/>
          <w:bCs/>
          <w:color w:val="000000"/>
          <w:sz w:val="32"/>
          <w:szCs w:val="32"/>
        </w:rPr>
        <w:t>广西壮族自治区恭城公路养护中心</w:t>
      </w:r>
      <w:r>
        <w:rPr>
          <w:rFonts w:hint="eastAsia" w:ascii="黑体" w:hAnsi="黑体" w:eastAsia="黑体"/>
          <w:sz w:val="32"/>
          <w:szCs w:val="32"/>
        </w:rPr>
        <w:t>2024年度部门决算报表</w:t>
      </w:r>
    </w:p>
    <w:p w14:paraId="7C29D07C">
      <w:pPr>
        <w:spacing w:line="560" w:lineRule="exact"/>
        <w:ind w:left="645"/>
        <w:rPr>
          <w:rFonts w:ascii="仿宋_GB2312" w:eastAsia="仿宋_GB2312"/>
          <w:sz w:val="32"/>
          <w:szCs w:val="32"/>
        </w:rPr>
      </w:pPr>
      <w:r>
        <w:rPr>
          <w:rFonts w:hint="eastAsia" w:ascii="仿宋_GB2312" w:eastAsia="仿宋_GB2312"/>
          <w:sz w:val="32"/>
          <w:szCs w:val="32"/>
        </w:rPr>
        <w:t>表一：收入支出决算总表</w:t>
      </w:r>
    </w:p>
    <w:p w14:paraId="57089F20">
      <w:pPr>
        <w:spacing w:line="560" w:lineRule="exact"/>
        <w:ind w:left="645"/>
        <w:rPr>
          <w:rFonts w:ascii="仿宋_GB2312" w:eastAsia="仿宋_GB2312"/>
          <w:sz w:val="32"/>
          <w:szCs w:val="32"/>
        </w:rPr>
      </w:pPr>
      <w:r>
        <w:rPr>
          <w:rFonts w:hint="eastAsia" w:ascii="仿宋_GB2312" w:eastAsia="仿宋_GB2312"/>
          <w:sz w:val="32"/>
          <w:szCs w:val="32"/>
        </w:rPr>
        <w:t>表二：收入决算表</w:t>
      </w:r>
    </w:p>
    <w:p w14:paraId="4EED8EB5">
      <w:pPr>
        <w:spacing w:line="560" w:lineRule="exact"/>
        <w:ind w:left="645"/>
        <w:rPr>
          <w:rFonts w:ascii="仿宋_GB2312" w:eastAsia="仿宋_GB2312"/>
          <w:sz w:val="32"/>
          <w:szCs w:val="32"/>
        </w:rPr>
      </w:pPr>
      <w:r>
        <w:rPr>
          <w:rFonts w:hint="eastAsia" w:ascii="仿宋_GB2312" w:eastAsia="仿宋_GB2312"/>
          <w:sz w:val="32"/>
          <w:szCs w:val="32"/>
        </w:rPr>
        <w:t>表三：支出决算表</w:t>
      </w:r>
    </w:p>
    <w:p w14:paraId="02B4DCDF">
      <w:pPr>
        <w:spacing w:line="560" w:lineRule="exact"/>
        <w:ind w:left="645"/>
        <w:rPr>
          <w:rFonts w:ascii="仿宋_GB2312" w:eastAsia="仿宋_GB2312"/>
          <w:sz w:val="32"/>
          <w:szCs w:val="32"/>
        </w:rPr>
      </w:pPr>
      <w:r>
        <w:rPr>
          <w:rFonts w:hint="eastAsia" w:ascii="仿宋_GB2312" w:eastAsia="仿宋_GB2312"/>
          <w:sz w:val="32"/>
          <w:szCs w:val="32"/>
        </w:rPr>
        <w:t>表四：财政拨款收入支出决算总表</w:t>
      </w:r>
    </w:p>
    <w:p w14:paraId="4603FCFB">
      <w:pPr>
        <w:spacing w:line="560" w:lineRule="exact"/>
        <w:ind w:left="645"/>
        <w:rPr>
          <w:rFonts w:ascii="仿宋_GB2312" w:eastAsia="仿宋_GB2312"/>
          <w:sz w:val="32"/>
          <w:szCs w:val="32"/>
        </w:rPr>
      </w:pPr>
      <w:r>
        <w:rPr>
          <w:rFonts w:hint="eastAsia" w:ascii="仿宋_GB2312" w:eastAsia="仿宋_GB2312"/>
          <w:sz w:val="32"/>
          <w:szCs w:val="32"/>
        </w:rPr>
        <w:t>表五：一般公共预算财政拨款支出决算表</w:t>
      </w:r>
    </w:p>
    <w:p w14:paraId="453E30E3">
      <w:pPr>
        <w:spacing w:line="560" w:lineRule="exact"/>
        <w:ind w:left="645"/>
        <w:rPr>
          <w:rFonts w:ascii="仿宋_GB2312" w:eastAsia="仿宋_GB2312"/>
          <w:sz w:val="32"/>
          <w:szCs w:val="32"/>
        </w:rPr>
      </w:pPr>
      <w:r>
        <w:rPr>
          <w:rFonts w:hint="eastAsia" w:ascii="仿宋_GB2312" w:eastAsia="仿宋_GB2312"/>
          <w:sz w:val="32"/>
          <w:szCs w:val="32"/>
        </w:rPr>
        <w:t>表六：一般公共预算财政拨款基本支出决算明细表</w:t>
      </w:r>
    </w:p>
    <w:p w14:paraId="364F26BA">
      <w:pPr>
        <w:spacing w:line="560" w:lineRule="exact"/>
        <w:ind w:left="645"/>
        <w:rPr>
          <w:rFonts w:ascii="仿宋_GB2312" w:eastAsia="仿宋_GB2312"/>
          <w:sz w:val="32"/>
          <w:szCs w:val="32"/>
        </w:rPr>
      </w:pPr>
      <w:r>
        <w:rPr>
          <w:rFonts w:hint="eastAsia" w:ascii="仿宋_GB2312" w:eastAsia="仿宋_GB2312"/>
          <w:sz w:val="32"/>
          <w:szCs w:val="32"/>
        </w:rPr>
        <w:t>表七：政府性基金</w:t>
      </w:r>
      <w:r>
        <w:rPr>
          <w:rFonts w:hint="eastAsia" w:ascii="仿宋_GB2312" w:hAnsi="黑体" w:eastAsia="仿宋_GB2312"/>
          <w:sz w:val="32"/>
          <w:szCs w:val="32"/>
        </w:rPr>
        <w:t>预算财政拨款</w:t>
      </w:r>
      <w:r>
        <w:rPr>
          <w:rFonts w:hint="eastAsia" w:ascii="仿宋_GB2312" w:eastAsia="仿宋_GB2312"/>
          <w:sz w:val="32"/>
          <w:szCs w:val="32"/>
        </w:rPr>
        <w:t>收入支出决算表</w:t>
      </w:r>
    </w:p>
    <w:p w14:paraId="5A061841">
      <w:pPr>
        <w:spacing w:line="560" w:lineRule="exact"/>
        <w:ind w:left="645"/>
        <w:rPr>
          <w:rFonts w:ascii="仿宋_GB2312" w:eastAsia="仿宋_GB2312"/>
          <w:sz w:val="32"/>
          <w:szCs w:val="32"/>
        </w:rPr>
      </w:pPr>
      <w:r>
        <w:rPr>
          <w:rFonts w:hint="eastAsia" w:ascii="仿宋_GB2312" w:eastAsia="仿宋_GB2312"/>
          <w:sz w:val="32"/>
          <w:szCs w:val="32"/>
        </w:rPr>
        <w:t>表八：国有资本经营预算</w:t>
      </w:r>
      <w:r>
        <w:rPr>
          <w:rFonts w:hint="eastAsia" w:ascii="仿宋_GB2312" w:hAnsi="黑体" w:eastAsia="仿宋_GB2312"/>
          <w:sz w:val="32"/>
          <w:szCs w:val="32"/>
        </w:rPr>
        <w:t>财政拨款</w:t>
      </w:r>
      <w:r>
        <w:rPr>
          <w:rFonts w:hint="eastAsia" w:ascii="仿宋_GB2312" w:eastAsia="仿宋_GB2312"/>
          <w:sz w:val="32"/>
          <w:szCs w:val="32"/>
        </w:rPr>
        <w:t>支出决算表</w:t>
      </w:r>
    </w:p>
    <w:p w14:paraId="61760010">
      <w:pPr>
        <w:spacing w:line="560" w:lineRule="exact"/>
        <w:ind w:left="645"/>
        <w:rPr>
          <w:rFonts w:ascii="仿宋_GB2312" w:eastAsia="仿宋_GB2312"/>
          <w:sz w:val="32"/>
          <w:szCs w:val="32"/>
        </w:rPr>
      </w:pPr>
      <w:r>
        <w:rPr>
          <w:rFonts w:hint="eastAsia" w:ascii="仿宋_GB2312" w:eastAsia="仿宋_GB2312"/>
          <w:sz w:val="32"/>
          <w:szCs w:val="32"/>
        </w:rPr>
        <w:t>表九：财政拨款“三公”经费支出决算表</w:t>
      </w:r>
    </w:p>
    <w:p w14:paraId="101C9A15">
      <w:pPr>
        <w:spacing w:line="560" w:lineRule="exact"/>
        <w:ind w:firstLine="645"/>
        <w:rPr>
          <w:rFonts w:ascii="黑体" w:hAnsi="黑体" w:eastAsia="黑体"/>
          <w:sz w:val="32"/>
          <w:szCs w:val="32"/>
        </w:rPr>
      </w:pPr>
      <w:r>
        <w:rPr>
          <w:rFonts w:hint="eastAsia" w:ascii="黑体" w:hAnsi="黑体" w:eastAsia="黑体"/>
          <w:sz w:val="32"/>
          <w:szCs w:val="32"/>
        </w:rPr>
        <w:t>第三部分：</w:t>
      </w:r>
      <w:r>
        <w:rPr>
          <w:rFonts w:hint="eastAsia" w:ascii="黑体" w:hAnsi="黑体" w:eastAsia="黑体"/>
          <w:bCs/>
          <w:color w:val="000000"/>
          <w:sz w:val="32"/>
          <w:szCs w:val="32"/>
        </w:rPr>
        <w:t>广西壮族自治区恭城公路养护中心</w:t>
      </w:r>
      <w:r>
        <w:rPr>
          <w:rFonts w:hint="eastAsia" w:ascii="黑体" w:hAnsi="黑体" w:eastAsia="黑体"/>
          <w:sz w:val="32"/>
          <w:szCs w:val="32"/>
        </w:rPr>
        <w:t>2024年度部门决算情况说明</w:t>
      </w:r>
    </w:p>
    <w:p w14:paraId="557E14A2">
      <w:pPr>
        <w:autoSpaceDE w:val="0"/>
        <w:autoSpaceDN w:val="0"/>
        <w:adjustRightInd w:val="0"/>
        <w:spacing w:line="560"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一、</w:t>
      </w:r>
      <w:r>
        <w:rPr>
          <w:rFonts w:hint="eastAsia" w:ascii="仿宋_GB2312" w:eastAsia="仿宋_GB2312"/>
          <w:kern w:val="0"/>
          <w:sz w:val="32"/>
          <w:szCs w:val="32"/>
        </w:rPr>
        <w:t>2024</w:t>
      </w:r>
      <w:r>
        <w:rPr>
          <w:rFonts w:hint="eastAsia" w:ascii="仿宋_GB2312" w:eastAsia="仿宋_GB2312" w:cs="仿宋_GB2312"/>
          <w:kern w:val="0"/>
          <w:sz w:val="32"/>
          <w:szCs w:val="32"/>
        </w:rPr>
        <w:t>年度收入支出决算总体情况。</w:t>
      </w:r>
    </w:p>
    <w:p w14:paraId="6F1CF132">
      <w:pPr>
        <w:autoSpaceDE w:val="0"/>
        <w:autoSpaceDN w:val="0"/>
        <w:adjustRightInd w:val="0"/>
        <w:spacing w:line="560"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二、</w:t>
      </w:r>
      <w:r>
        <w:rPr>
          <w:rFonts w:hint="eastAsia" w:ascii="仿宋_GB2312" w:eastAsia="仿宋_GB2312"/>
          <w:kern w:val="0"/>
          <w:sz w:val="32"/>
          <w:szCs w:val="32"/>
        </w:rPr>
        <w:t>2024</w:t>
      </w:r>
      <w:r>
        <w:rPr>
          <w:rFonts w:hint="eastAsia" w:ascii="仿宋_GB2312" w:eastAsia="仿宋_GB2312" w:cs="仿宋_GB2312"/>
          <w:kern w:val="0"/>
          <w:sz w:val="32"/>
          <w:szCs w:val="32"/>
        </w:rPr>
        <w:t>年度</w:t>
      </w:r>
      <w:r>
        <w:rPr>
          <w:rFonts w:hint="eastAsia" w:ascii="仿宋_GB2312" w:eastAsia="仿宋_GB2312"/>
          <w:sz w:val="32"/>
          <w:szCs w:val="32"/>
        </w:rPr>
        <w:t>一般</w:t>
      </w:r>
      <w:r>
        <w:rPr>
          <w:rFonts w:hint="eastAsia" w:ascii="仿宋_GB2312" w:eastAsia="仿宋_GB2312" w:cs="仿宋_GB2312"/>
          <w:kern w:val="0"/>
          <w:sz w:val="32"/>
          <w:szCs w:val="32"/>
        </w:rPr>
        <w:t>公共预算财政拨款支出决算情况。</w:t>
      </w:r>
    </w:p>
    <w:p w14:paraId="307C673D">
      <w:pPr>
        <w:autoSpaceDE w:val="0"/>
        <w:autoSpaceDN w:val="0"/>
        <w:adjustRightInd w:val="0"/>
        <w:spacing w:line="560"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三、2024年度一般公共预算财政拨款基本支出决算情况说明。</w:t>
      </w:r>
    </w:p>
    <w:p w14:paraId="69C251CE">
      <w:pPr>
        <w:autoSpaceDE w:val="0"/>
        <w:autoSpaceDN w:val="0"/>
        <w:adjustRightInd w:val="0"/>
        <w:spacing w:line="560"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四、</w:t>
      </w:r>
      <w:r>
        <w:rPr>
          <w:rFonts w:hint="eastAsia" w:ascii="仿宋_GB2312" w:eastAsia="仿宋_GB2312"/>
          <w:kern w:val="0"/>
          <w:sz w:val="32"/>
          <w:szCs w:val="32"/>
        </w:rPr>
        <w:t>2024</w:t>
      </w:r>
      <w:r>
        <w:rPr>
          <w:rFonts w:hint="eastAsia" w:ascii="仿宋_GB2312" w:eastAsia="仿宋_GB2312" w:cs="仿宋_GB2312"/>
          <w:kern w:val="0"/>
          <w:sz w:val="32"/>
          <w:szCs w:val="32"/>
        </w:rPr>
        <w:t>年度政府性基金支出决算情况。</w:t>
      </w:r>
    </w:p>
    <w:p w14:paraId="4FB8CFC0">
      <w:pPr>
        <w:autoSpaceDE w:val="0"/>
        <w:autoSpaceDN w:val="0"/>
        <w:adjustRightInd w:val="0"/>
        <w:spacing w:line="560"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五、2024年度国有资本经营预算支出决算情况</w:t>
      </w:r>
    </w:p>
    <w:p w14:paraId="004F71A9">
      <w:pPr>
        <w:autoSpaceDE w:val="0"/>
        <w:autoSpaceDN w:val="0"/>
        <w:adjustRightInd w:val="0"/>
        <w:spacing w:line="560"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六、财政拨款安排的“三公”经费支出决算情况说明。</w:t>
      </w:r>
    </w:p>
    <w:p w14:paraId="6479A51B">
      <w:pPr>
        <w:autoSpaceDE w:val="0"/>
        <w:autoSpaceDN w:val="0"/>
        <w:adjustRightInd w:val="0"/>
        <w:spacing w:line="560"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七、其他重要事项情况说明。</w:t>
      </w:r>
    </w:p>
    <w:p w14:paraId="1A622838">
      <w:pPr>
        <w:autoSpaceDE w:val="0"/>
        <w:autoSpaceDN w:val="0"/>
        <w:adjustRightInd w:val="0"/>
        <w:spacing w:line="560"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八、预算绩效管理工作开展情况。</w:t>
      </w:r>
    </w:p>
    <w:p w14:paraId="55B12981">
      <w:pPr>
        <w:autoSpaceDE w:val="0"/>
        <w:autoSpaceDN w:val="0"/>
        <w:adjustRightInd w:val="0"/>
        <w:spacing w:line="560" w:lineRule="exact"/>
        <w:ind w:firstLine="640" w:firstLineChars="200"/>
        <w:jc w:val="left"/>
        <w:rPr>
          <w:rFonts w:ascii="黑体" w:hAnsi="黑体" w:eastAsia="黑体" w:cs="仿宋_GB2312"/>
          <w:kern w:val="0"/>
          <w:sz w:val="32"/>
          <w:szCs w:val="32"/>
        </w:rPr>
      </w:pPr>
      <w:r>
        <w:rPr>
          <w:rFonts w:hint="eastAsia" w:ascii="黑体" w:hAnsi="黑体" w:eastAsia="黑体" w:cs="仿宋_GB2312"/>
          <w:kern w:val="0"/>
          <w:sz w:val="32"/>
          <w:szCs w:val="32"/>
        </w:rPr>
        <w:t>第四部分：名词解释</w:t>
      </w:r>
    </w:p>
    <w:p w14:paraId="4F60E007">
      <w:pPr>
        <w:spacing w:line="560" w:lineRule="exact"/>
        <w:jc w:val="center"/>
        <w:rPr>
          <w:rFonts w:ascii="仿宋_GB2312" w:eastAsia="仿宋_GB2312"/>
        </w:rPr>
      </w:pPr>
    </w:p>
    <w:p w14:paraId="29796E25">
      <w:pPr>
        <w:rPr>
          <w:rFonts w:ascii="仿宋_GB2312" w:eastAsia="仿宋_GB2312"/>
          <w:b/>
          <w:sz w:val="32"/>
          <w:szCs w:val="32"/>
        </w:rPr>
      </w:pPr>
    </w:p>
    <w:p w14:paraId="01A07400">
      <w:pPr>
        <w:rPr>
          <w:rFonts w:ascii="仿宋_GB2312" w:eastAsia="仿宋_GB2312"/>
          <w:b/>
          <w:sz w:val="32"/>
          <w:szCs w:val="32"/>
        </w:rPr>
      </w:pPr>
    </w:p>
    <w:p w14:paraId="7E004FB1">
      <w:pPr>
        <w:rPr>
          <w:rFonts w:ascii="仿宋_GB2312" w:eastAsia="仿宋_GB2312"/>
          <w:b/>
          <w:sz w:val="32"/>
          <w:szCs w:val="32"/>
        </w:rPr>
      </w:pPr>
    </w:p>
    <w:p w14:paraId="091FF4AC">
      <w:pPr>
        <w:rPr>
          <w:rFonts w:ascii="仿宋_GB2312" w:eastAsia="仿宋_GB2312"/>
          <w:b/>
          <w:sz w:val="32"/>
          <w:szCs w:val="32"/>
        </w:rPr>
      </w:pPr>
    </w:p>
    <w:p w14:paraId="530B0AAD">
      <w:pPr>
        <w:rPr>
          <w:rFonts w:ascii="仿宋_GB2312" w:eastAsia="仿宋_GB2312"/>
          <w:b/>
          <w:sz w:val="32"/>
          <w:szCs w:val="32"/>
        </w:rPr>
      </w:pPr>
    </w:p>
    <w:p w14:paraId="46DEE061">
      <w:pPr>
        <w:rPr>
          <w:rFonts w:ascii="仿宋_GB2312" w:eastAsia="仿宋_GB2312"/>
          <w:b/>
          <w:sz w:val="32"/>
          <w:szCs w:val="32"/>
        </w:rPr>
      </w:pPr>
    </w:p>
    <w:p w14:paraId="31F22ACE">
      <w:pPr>
        <w:rPr>
          <w:rFonts w:ascii="仿宋_GB2312" w:eastAsia="仿宋_GB2312"/>
          <w:b/>
          <w:sz w:val="32"/>
          <w:szCs w:val="32"/>
        </w:rPr>
      </w:pPr>
    </w:p>
    <w:p w14:paraId="172A5483">
      <w:pPr>
        <w:rPr>
          <w:rFonts w:ascii="仿宋_GB2312" w:eastAsia="仿宋_GB2312"/>
          <w:b/>
          <w:sz w:val="32"/>
          <w:szCs w:val="32"/>
        </w:rPr>
      </w:pPr>
    </w:p>
    <w:p w14:paraId="78F27C0D">
      <w:pPr>
        <w:rPr>
          <w:rFonts w:ascii="仿宋_GB2312" w:eastAsia="仿宋_GB2312"/>
          <w:b/>
          <w:sz w:val="32"/>
          <w:szCs w:val="32"/>
        </w:rPr>
      </w:pPr>
    </w:p>
    <w:p w14:paraId="0110434B">
      <w:pPr>
        <w:rPr>
          <w:rFonts w:ascii="仿宋_GB2312" w:eastAsia="仿宋_GB2312"/>
          <w:b/>
          <w:sz w:val="32"/>
          <w:szCs w:val="32"/>
        </w:rPr>
      </w:pPr>
    </w:p>
    <w:p w14:paraId="5DC511FA">
      <w:pPr>
        <w:rPr>
          <w:rFonts w:ascii="仿宋_GB2312" w:eastAsia="仿宋_GB2312"/>
          <w:b/>
          <w:sz w:val="32"/>
          <w:szCs w:val="32"/>
        </w:rPr>
      </w:pPr>
    </w:p>
    <w:p w14:paraId="5242FED6">
      <w:pPr>
        <w:rPr>
          <w:rFonts w:ascii="仿宋_GB2312" w:eastAsia="仿宋_GB2312"/>
          <w:b/>
          <w:sz w:val="32"/>
          <w:szCs w:val="32"/>
        </w:rPr>
      </w:pPr>
    </w:p>
    <w:p w14:paraId="4172E5DC">
      <w:pPr>
        <w:rPr>
          <w:rFonts w:ascii="仿宋_GB2312" w:eastAsia="仿宋_GB2312"/>
          <w:b/>
          <w:sz w:val="32"/>
          <w:szCs w:val="32"/>
        </w:rPr>
      </w:pPr>
    </w:p>
    <w:p w14:paraId="551FC854">
      <w:pPr>
        <w:rPr>
          <w:rFonts w:ascii="仿宋_GB2312" w:eastAsia="仿宋_GB2312"/>
          <w:b/>
          <w:sz w:val="32"/>
          <w:szCs w:val="32"/>
        </w:rPr>
      </w:pPr>
    </w:p>
    <w:p w14:paraId="7465C36A">
      <w:pPr>
        <w:rPr>
          <w:rFonts w:ascii="仿宋_GB2312" w:eastAsia="仿宋_GB2312"/>
          <w:b/>
          <w:sz w:val="32"/>
          <w:szCs w:val="32"/>
        </w:rPr>
      </w:pPr>
    </w:p>
    <w:p w14:paraId="2B4729D4">
      <w:pPr>
        <w:rPr>
          <w:rFonts w:ascii="仿宋_GB2312" w:eastAsia="仿宋_GB2312"/>
          <w:b/>
          <w:sz w:val="32"/>
          <w:szCs w:val="32"/>
        </w:rPr>
      </w:pPr>
    </w:p>
    <w:p w14:paraId="65314A4B">
      <w:pPr>
        <w:rPr>
          <w:rFonts w:ascii="仿宋_GB2312" w:eastAsia="仿宋_GB2312"/>
          <w:b/>
          <w:sz w:val="32"/>
          <w:szCs w:val="32"/>
        </w:rPr>
      </w:pPr>
    </w:p>
    <w:p w14:paraId="3FA1DB14">
      <w:pPr>
        <w:rPr>
          <w:rFonts w:ascii="仿宋_GB2312" w:eastAsia="仿宋_GB2312"/>
          <w:b/>
          <w:sz w:val="32"/>
          <w:szCs w:val="32"/>
        </w:rPr>
      </w:pPr>
    </w:p>
    <w:p w14:paraId="737A62FB">
      <w:pPr>
        <w:rPr>
          <w:rFonts w:ascii="仿宋_GB2312" w:eastAsia="仿宋_GB2312"/>
          <w:b/>
          <w:sz w:val="32"/>
          <w:szCs w:val="32"/>
        </w:rPr>
      </w:pPr>
    </w:p>
    <w:p w14:paraId="04943C5A">
      <w:pPr>
        <w:spacing w:line="560" w:lineRule="exact"/>
        <w:ind w:firstLine="646"/>
        <w:jc w:val="both"/>
        <w:rPr>
          <w:rFonts w:ascii="黑体" w:hAnsi="黑体" w:eastAsia="黑体"/>
          <w:sz w:val="32"/>
          <w:szCs w:val="32"/>
        </w:rPr>
      </w:pPr>
      <w:r>
        <w:rPr>
          <w:rFonts w:hint="eastAsia" w:ascii="黑体" w:hAnsi="黑体" w:eastAsia="黑体"/>
          <w:sz w:val="32"/>
          <w:szCs w:val="32"/>
        </w:rPr>
        <w:t>第一部分：广西壮族自治区恭城公路养护中心概况</w:t>
      </w:r>
    </w:p>
    <w:p w14:paraId="4F9876C2">
      <w:pPr>
        <w:spacing w:line="560" w:lineRule="exact"/>
        <w:ind w:firstLine="646"/>
        <w:rPr>
          <w:rFonts w:ascii="黑体" w:hAnsi="黑体" w:eastAsia="黑体"/>
          <w:sz w:val="32"/>
          <w:szCs w:val="32"/>
        </w:rPr>
      </w:pPr>
      <w:r>
        <w:rPr>
          <w:rFonts w:hint="eastAsia" w:ascii="黑体" w:hAnsi="黑体" w:eastAsia="黑体"/>
          <w:sz w:val="32"/>
          <w:szCs w:val="32"/>
        </w:rPr>
        <w:t>一、本单位职责</w:t>
      </w:r>
    </w:p>
    <w:p w14:paraId="5DDC11C2">
      <w:pPr>
        <w:ind w:firstLine="640" w:firstLineChars="200"/>
        <w:rPr>
          <w:rFonts w:ascii="仿宋_GB2312" w:hAnsi="仿宋_GB2312" w:eastAsia="仿宋_GB2312" w:cs="仿宋_GB2312"/>
          <w:sz w:val="32"/>
          <w:szCs w:val="32"/>
        </w:rPr>
      </w:pPr>
      <w:r>
        <w:rPr>
          <w:rFonts w:hint="eastAsia" w:ascii="仿宋_GB2312" w:eastAsia="仿宋_GB2312"/>
          <w:sz w:val="32"/>
          <w:szCs w:val="32"/>
        </w:rPr>
        <w:t>广西壮族自治区恭城公路养护中心是一个以公路养护、公路</w:t>
      </w:r>
      <w:r>
        <w:rPr>
          <w:rFonts w:hint="eastAsia" w:ascii="仿宋_GB2312" w:hAnsi="宋体" w:eastAsia="仿宋_GB2312"/>
          <w:sz w:val="32"/>
          <w:szCs w:val="32"/>
        </w:rPr>
        <w:t>行业信息</w:t>
      </w:r>
      <w:r>
        <w:rPr>
          <w:rFonts w:hint="eastAsia" w:ascii="仿宋_GB2312" w:eastAsia="仿宋_GB2312"/>
          <w:sz w:val="32"/>
          <w:szCs w:val="32"/>
        </w:rPr>
        <w:t>管理为主要业务范围的事业单位，下设7个科室，4个养护站。</w:t>
      </w:r>
      <w:r>
        <w:rPr>
          <w:rFonts w:hint="eastAsia" w:ascii="仿宋_GB2312" w:hAnsi="仿宋_GB2312" w:eastAsia="仿宋_GB2312" w:cs="仿宋_GB2312"/>
          <w:sz w:val="32"/>
          <w:szCs w:val="32"/>
        </w:rPr>
        <w:t>2024年底管养里程167.483公里（其中：一级路4.382公里，二级路163.101公里）。</w:t>
      </w:r>
    </w:p>
    <w:p w14:paraId="66BA8374">
      <w:pPr>
        <w:ind w:firstLine="645"/>
        <w:rPr>
          <w:rFonts w:ascii="仿宋_GB2312" w:eastAsia="仿宋_GB2312"/>
          <w:sz w:val="32"/>
          <w:szCs w:val="32"/>
        </w:rPr>
      </w:pPr>
      <w:r>
        <w:rPr>
          <w:rFonts w:hint="eastAsia" w:ascii="仿宋_GB2312" w:eastAsia="仿宋_GB2312"/>
          <w:sz w:val="32"/>
          <w:szCs w:val="32"/>
        </w:rPr>
        <w:t>主要职能：</w:t>
      </w:r>
    </w:p>
    <w:p w14:paraId="6148F695">
      <w:pPr>
        <w:spacing w:line="560" w:lineRule="exact"/>
        <w:ind w:firstLine="640" w:firstLineChars="200"/>
        <w:rPr>
          <w:rFonts w:ascii="仿宋_GB2312" w:eastAsia="仿宋_GB2312"/>
          <w:sz w:val="32"/>
          <w:szCs w:val="32"/>
        </w:rPr>
      </w:pPr>
      <w:r>
        <w:rPr>
          <w:rFonts w:hint="eastAsia" w:ascii="仿宋_GB2312" w:eastAsia="仿宋_GB2312"/>
          <w:sz w:val="32"/>
          <w:szCs w:val="32"/>
        </w:rPr>
        <w:t>（一）承担辖区内普通国省干线公路的养护工作；</w:t>
      </w:r>
    </w:p>
    <w:p w14:paraId="60F2EECD">
      <w:pPr>
        <w:spacing w:line="560" w:lineRule="exact"/>
        <w:ind w:firstLine="640" w:firstLineChars="200"/>
        <w:rPr>
          <w:rFonts w:ascii="仿宋_GB2312" w:eastAsia="仿宋_GB2312"/>
          <w:sz w:val="32"/>
          <w:szCs w:val="32"/>
        </w:rPr>
      </w:pPr>
      <w:r>
        <w:rPr>
          <w:rFonts w:hint="eastAsia" w:ascii="仿宋_GB2312" w:eastAsia="仿宋_GB2312"/>
          <w:sz w:val="32"/>
          <w:szCs w:val="32"/>
        </w:rPr>
        <w:t>（二）承担辖区内普通国省干线公路路网的监测、预警、信息服务等工作；</w:t>
      </w:r>
    </w:p>
    <w:p w14:paraId="43A293C3">
      <w:pPr>
        <w:spacing w:line="560" w:lineRule="exact"/>
        <w:ind w:firstLine="646"/>
        <w:rPr>
          <w:rFonts w:ascii="黑体" w:hAnsi="黑体" w:eastAsia="黑体"/>
          <w:sz w:val="32"/>
          <w:szCs w:val="32"/>
        </w:rPr>
      </w:pPr>
      <w:r>
        <w:rPr>
          <w:rFonts w:hint="eastAsia" w:ascii="仿宋_GB2312" w:eastAsia="仿宋_GB2312"/>
          <w:sz w:val="32"/>
          <w:szCs w:val="32"/>
        </w:rPr>
        <w:t>（三）承担辖区内普通国省干线公路基础设施的安全防护、应急处置工作。</w:t>
      </w:r>
    </w:p>
    <w:p w14:paraId="1A9D5EFD">
      <w:pPr>
        <w:spacing w:line="560" w:lineRule="exact"/>
        <w:ind w:firstLine="646"/>
        <w:rPr>
          <w:rFonts w:ascii="黑体" w:hAnsi="黑体" w:eastAsia="黑体"/>
          <w:sz w:val="32"/>
          <w:szCs w:val="32"/>
        </w:rPr>
      </w:pPr>
      <w:r>
        <w:rPr>
          <w:rFonts w:hint="eastAsia" w:ascii="黑体" w:hAnsi="黑体" w:eastAsia="黑体"/>
          <w:sz w:val="32"/>
          <w:szCs w:val="32"/>
        </w:rPr>
        <w:t>二、机构设置情况</w:t>
      </w:r>
    </w:p>
    <w:p w14:paraId="6001E9B1">
      <w:pPr>
        <w:ind w:firstLine="645"/>
        <w:rPr>
          <w:rFonts w:ascii="仿宋_GB2312" w:eastAsia="仿宋_GB2312"/>
          <w:b/>
          <w:sz w:val="32"/>
          <w:szCs w:val="32"/>
        </w:rPr>
      </w:pPr>
      <w:r>
        <w:rPr>
          <w:rFonts w:hint="eastAsia" w:ascii="仿宋_GB2312" w:hAnsi="宋体" w:eastAsia="仿宋_GB2312"/>
          <w:color w:val="000000"/>
          <w:sz w:val="32"/>
          <w:szCs w:val="32"/>
        </w:rPr>
        <w:t>纳入2024年广西壮族自治区</w:t>
      </w:r>
      <w:r>
        <w:rPr>
          <w:rFonts w:hint="eastAsia" w:ascii="仿宋_GB2312" w:hAnsi="宋体" w:eastAsia="仿宋_GB2312"/>
          <w:color w:val="000000"/>
          <w:sz w:val="32"/>
          <w:szCs w:val="32"/>
          <w:lang w:eastAsia="zh-CN"/>
        </w:rPr>
        <w:t>恭城</w:t>
      </w:r>
      <w:r>
        <w:rPr>
          <w:rFonts w:hint="eastAsia" w:ascii="仿宋_GB2312" w:hAnsi="宋体" w:eastAsia="仿宋_GB2312"/>
          <w:color w:val="000000"/>
          <w:sz w:val="32"/>
          <w:szCs w:val="32"/>
        </w:rPr>
        <w:t>公路养护中心部门决算共1个单位</w:t>
      </w:r>
      <w:bookmarkStart w:id="0" w:name="OLE_LINK14"/>
      <w:r>
        <w:rPr>
          <w:rFonts w:hint="eastAsia" w:ascii="仿宋_GB2312" w:hAnsi="宋体" w:eastAsia="仿宋_GB2312"/>
          <w:color w:val="000000"/>
          <w:sz w:val="32"/>
          <w:szCs w:val="32"/>
        </w:rPr>
        <w:t>，</w:t>
      </w:r>
      <w:r>
        <w:rPr>
          <w:rFonts w:hint="eastAsia" w:ascii="仿宋_GB2312" w:eastAsia="仿宋_GB2312"/>
          <w:sz w:val="32"/>
          <w:szCs w:val="32"/>
        </w:rPr>
        <w:t>为四级预算单位</w:t>
      </w:r>
      <w:bookmarkEnd w:id="0"/>
      <w:r>
        <w:rPr>
          <w:rFonts w:hint="eastAsia" w:ascii="仿宋_GB2312" w:hAnsi="宋体" w:eastAsia="仿宋_GB2312"/>
          <w:color w:val="000000"/>
          <w:sz w:val="32"/>
          <w:szCs w:val="32"/>
        </w:rPr>
        <w:t>。</w:t>
      </w:r>
      <w:r>
        <w:rPr>
          <w:rFonts w:hint="eastAsia" w:ascii="仿宋_GB2312" w:eastAsia="仿宋_GB2312"/>
          <w:sz w:val="32"/>
          <w:szCs w:val="32"/>
        </w:rPr>
        <w:t>自治区恭城公路养护中心下辖2个养护站，即：恭城养护站、秧家养护站，设置以下职能科（室），即：办公室、政工科、养护与工程管理科、财务科、安全与国有资产管理科、纪检监察室、路产事务科。</w:t>
      </w:r>
    </w:p>
    <w:p w14:paraId="21AB35C4">
      <w:pPr>
        <w:spacing w:line="560" w:lineRule="exact"/>
        <w:ind w:firstLine="640" w:firstLineChars="200"/>
        <w:rPr>
          <w:rFonts w:ascii="黑体" w:hAnsi="黑体" w:eastAsia="黑体"/>
          <w:sz w:val="32"/>
          <w:szCs w:val="32"/>
        </w:rPr>
      </w:pPr>
      <w:r>
        <w:rPr>
          <w:rFonts w:hint="eastAsia" w:ascii="黑体" w:hAnsi="黑体" w:eastAsia="黑体"/>
          <w:sz w:val="32"/>
          <w:szCs w:val="32"/>
        </w:rPr>
        <w:t>第二部分：广西壮族自治区恭城公路养护中心2024年度部门决算报表</w:t>
      </w:r>
    </w:p>
    <w:p w14:paraId="2DEAC56B">
      <w:pPr>
        <w:ind w:left="645"/>
        <w:rPr>
          <w:rFonts w:ascii="仿宋_GB2312" w:eastAsia="仿宋_GB2312"/>
          <w:sz w:val="32"/>
          <w:szCs w:val="32"/>
        </w:rPr>
      </w:pPr>
      <w:r>
        <w:rPr>
          <w:rFonts w:hint="eastAsia" w:ascii="仿宋_GB2312" w:eastAsia="仿宋_GB2312"/>
          <w:sz w:val="32"/>
          <w:szCs w:val="32"/>
        </w:rPr>
        <w:t>表一：收入支出决算总表</w:t>
      </w:r>
    </w:p>
    <w:p w14:paraId="0F40E6D1">
      <w:pPr>
        <w:ind w:left="645"/>
        <w:rPr>
          <w:rFonts w:ascii="仿宋_GB2312" w:eastAsia="仿宋_GB2312"/>
          <w:sz w:val="32"/>
          <w:szCs w:val="32"/>
        </w:rPr>
      </w:pPr>
      <w:r>
        <w:rPr>
          <w:rFonts w:hint="eastAsia" w:ascii="仿宋_GB2312" w:eastAsia="仿宋_GB2312"/>
          <w:sz w:val="32"/>
          <w:szCs w:val="32"/>
        </w:rPr>
        <w:t>表二：收入决算表</w:t>
      </w:r>
    </w:p>
    <w:p w14:paraId="22BED7DE">
      <w:pPr>
        <w:ind w:left="645"/>
        <w:rPr>
          <w:rFonts w:ascii="仿宋_GB2312" w:eastAsia="仿宋_GB2312"/>
          <w:sz w:val="32"/>
          <w:szCs w:val="32"/>
        </w:rPr>
      </w:pPr>
      <w:r>
        <w:rPr>
          <w:rFonts w:hint="eastAsia" w:ascii="仿宋_GB2312" w:eastAsia="仿宋_GB2312"/>
          <w:sz w:val="32"/>
          <w:szCs w:val="32"/>
        </w:rPr>
        <w:t>表三：支出决算表</w:t>
      </w:r>
    </w:p>
    <w:p w14:paraId="0C162070">
      <w:pPr>
        <w:ind w:left="645"/>
        <w:rPr>
          <w:rFonts w:ascii="仿宋_GB2312" w:eastAsia="仿宋_GB2312"/>
          <w:sz w:val="32"/>
          <w:szCs w:val="32"/>
        </w:rPr>
      </w:pPr>
      <w:r>
        <w:rPr>
          <w:rFonts w:hint="eastAsia" w:ascii="仿宋_GB2312" w:eastAsia="仿宋_GB2312"/>
          <w:sz w:val="32"/>
          <w:szCs w:val="32"/>
        </w:rPr>
        <w:t>表四：财政拨款收入支出决算总表</w:t>
      </w:r>
    </w:p>
    <w:p w14:paraId="032B09F5">
      <w:pPr>
        <w:ind w:left="645"/>
        <w:rPr>
          <w:rFonts w:ascii="仿宋_GB2312" w:eastAsia="仿宋_GB2312"/>
          <w:sz w:val="32"/>
          <w:szCs w:val="32"/>
        </w:rPr>
      </w:pPr>
      <w:r>
        <w:rPr>
          <w:rFonts w:hint="eastAsia" w:ascii="仿宋_GB2312" w:eastAsia="仿宋_GB2312"/>
          <w:sz w:val="32"/>
          <w:szCs w:val="32"/>
        </w:rPr>
        <w:t>表五：一般公共预算财政拨款支出决算表</w:t>
      </w:r>
    </w:p>
    <w:p w14:paraId="44A928E2">
      <w:pPr>
        <w:ind w:left="645"/>
        <w:rPr>
          <w:rFonts w:ascii="仿宋_GB2312" w:eastAsia="仿宋_GB2312"/>
          <w:sz w:val="32"/>
          <w:szCs w:val="32"/>
        </w:rPr>
      </w:pPr>
      <w:r>
        <w:rPr>
          <w:rFonts w:hint="eastAsia" w:ascii="仿宋_GB2312" w:eastAsia="仿宋_GB2312"/>
          <w:sz w:val="32"/>
          <w:szCs w:val="32"/>
        </w:rPr>
        <w:t>表六：一般公共预算财政拨款基本支出决算表</w:t>
      </w:r>
    </w:p>
    <w:p w14:paraId="7B1A92AB">
      <w:pPr>
        <w:ind w:left="645"/>
        <w:rPr>
          <w:rFonts w:ascii="仿宋_GB2312" w:eastAsia="仿宋_GB2312"/>
          <w:sz w:val="32"/>
          <w:szCs w:val="32"/>
        </w:rPr>
      </w:pPr>
      <w:r>
        <w:rPr>
          <w:rFonts w:hint="eastAsia" w:ascii="仿宋_GB2312" w:eastAsia="仿宋_GB2312"/>
          <w:sz w:val="32"/>
          <w:szCs w:val="32"/>
        </w:rPr>
        <w:t>表七：政府性基金</w:t>
      </w:r>
      <w:r>
        <w:rPr>
          <w:rFonts w:hint="eastAsia" w:ascii="仿宋_GB2312" w:hAnsi="黑体" w:eastAsia="仿宋_GB2312"/>
          <w:sz w:val="32"/>
          <w:szCs w:val="32"/>
        </w:rPr>
        <w:t>预算财政拨款</w:t>
      </w:r>
      <w:r>
        <w:rPr>
          <w:rFonts w:hint="eastAsia" w:ascii="仿宋_GB2312" w:eastAsia="仿宋_GB2312"/>
          <w:sz w:val="32"/>
          <w:szCs w:val="32"/>
        </w:rPr>
        <w:t>收入支出决算表</w:t>
      </w:r>
    </w:p>
    <w:p w14:paraId="2DEDB33F">
      <w:pPr>
        <w:ind w:left="645"/>
        <w:rPr>
          <w:rFonts w:ascii="仿宋_GB2312" w:eastAsia="仿宋_GB2312"/>
          <w:sz w:val="32"/>
          <w:szCs w:val="32"/>
        </w:rPr>
      </w:pPr>
      <w:r>
        <w:rPr>
          <w:rFonts w:hint="eastAsia" w:ascii="仿宋_GB2312" w:eastAsia="仿宋_GB2312"/>
          <w:sz w:val="32"/>
          <w:szCs w:val="32"/>
        </w:rPr>
        <w:t>表八：国有资本经营预算</w:t>
      </w:r>
      <w:r>
        <w:rPr>
          <w:rFonts w:hint="eastAsia" w:ascii="仿宋_GB2312" w:hAnsi="黑体" w:eastAsia="仿宋_GB2312"/>
          <w:sz w:val="32"/>
          <w:szCs w:val="32"/>
        </w:rPr>
        <w:t>财政拨款</w:t>
      </w:r>
      <w:r>
        <w:rPr>
          <w:rFonts w:hint="eastAsia" w:ascii="仿宋_GB2312" w:eastAsia="仿宋_GB2312"/>
          <w:sz w:val="32"/>
          <w:szCs w:val="32"/>
        </w:rPr>
        <w:t>支出决算表</w:t>
      </w:r>
    </w:p>
    <w:p w14:paraId="4A89903D">
      <w:pPr>
        <w:ind w:left="645"/>
        <w:rPr>
          <w:rFonts w:ascii="仿宋_GB2312" w:eastAsia="仿宋_GB2312"/>
          <w:sz w:val="32"/>
          <w:szCs w:val="32"/>
        </w:rPr>
      </w:pPr>
      <w:r>
        <w:rPr>
          <w:rFonts w:hint="eastAsia" w:ascii="仿宋_GB2312" w:eastAsia="仿宋_GB2312"/>
          <w:sz w:val="32"/>
          <w:szCs w:val="32"/>
        </w:rPr>
        <w:t>表九：财政拨款安排的“三公”经费支出决算表</w:t>
      </w:r>
    </w:p>
    <w:p w14:paraId="65B90BFF">
      <w:pPr>
        <w:ind w:firstLine="640"/>
        <w:rPr>
          <w:rFonts w:ascii="仿宋_GB2312" w:hAnsi="仿宋_GB2312" w:eastAsia="仿宋_GB2312" w:cs="仿宋_GB2312"/>
          <w:sz w:val="32"/>
          <w:szCs w:val="32"/>
        </w:rPr>
      </w:pPr>
    </w:p>
    <w:p w14:paraId="0DB4E13B">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（此部分另附表格，详见附件：广西壮族自治区恭城公路养护中心2024年度部门决算公开附表）</w:t>
      </w:r>
    </w:p>
    <w:p w14:paraId="23DD1EAB">
      <w:pPr>
        <w:spacing w:line="560" w:lineRule="exact"/>
        <w:jc w:val="center"/>
      </w:pPr>
    </w:p>
    <w:p w14:paraId="45B09AFC">
      <w:pPr>
        <w:spacing w:line="560" w:lineRule="exact"/>
        <w:rPr>
          <w:rFonts w:ascii="仿宋_GB2312" w:eastAsia="仿宋_GB2312"/>
          <w:b/>
          <w:sz w:val="32"/>
          <w:szCs w:val="32"/>
        </w:rPr>
        <w:sectPr>
          <w:footerReference r:id="rId3" w:type="default"/>
          <w:footerReference r:id="rId4" w:type="even"/>
          <w:pgSz w:w="11906" w:h="16838"/>
          <w:pgMar w:top="1701" w:right="1474" w:bottom="1247" w:left="1587" w:header="851" w:footer="992" w:gutter="0"/>
          <w:cols w:space="720" w:num="1"/>
          <w:docGrid w:type="lines" w:linePitch="312" w:charSpace="0"/>
        </w:sectPr>
      </w:pPr>
    </w:p>
    <w:p w14:paraId="48F57A10">
      <w:pPr>
        <w:spacing w:line="560" w:lineRule="exact"/>
        <w:ind w:firstLine="640" w:firstLineChars="200"/>
        <w:rPr>
          <w:rFonts w:ascii="黑体" w:hAnsi="黑体" w:eastAsia="黑体"/>
          <w:sz w:val="32"/>
          <w:szCs w:val="32"/>
        </w:rPr>
      </w:pPr>
      <w:r>
        <w:rPr>
          <w:rFonts w:hint="eastAsia" w:ascii="黑体" w:hAnsi="黑体" w:eastAsia="黑体"/>
          <w:sz w:val="32"/>
          <w:szCs w:val="32"/>
        </w:rPr>
        <w:t>第三部分：</w:t>
      </w:r>
      <w:r>
        <w:rPr>
          <w:rFonts w:hint="eastAsia" w:ascii="黑体" w:hAnsi="黑体" w:eastAsia="黑体"/>
          <w:bCs/>
          <w:color w:val="000000"/>
          <w:sz w:val="32"/>
          <w:szCs w:val="32"/>
        </w:rPr>
        <w:t>广西壮族自治区恭城公路养护中心</w:t>
      </w:r>
      <w:r>
        <w:rPr>
          <w:rFonts w:hint="eastAsia" w:ascii="黑体" w:hAnsi="黑体" w:eastAsia="黑体"/>
          <w:sz w:val="32"/>
          <w:szCs w:val="32"/>
        </w:rPr>
        <w:t>2024年度部门决算情况说明</w:t>
      </w:r>
    </w:p>
    <w:p w14:paraId="4E710B9E">
      <w:pPr>
        <w:autoSpaceDE w:val="0"/>
        <w:autoSpaceDN w:val="0"/>
        <w:adjustRightInd w:val="0"/>
        <w:spacing w:line="560" w:lineRule="exact"/>
        <w:ind w:firstLine="640" w:firstLineChars="200"/>
        <w:jc w:val="left"/>
        <w:rPr>
          <w:rFonts w:ascii="黑体" w:hAnsi="黑体" w:eastAsia="黑体" w:cs="仿宋_GB2312"/>
          <w:kern w:val="0"/>
          <w:sz w:val="32"/>
          <w:szCs w:val="32"/>
        </w:rPr>
      </w:pPr>
      <w:r>
        <w:rPr>
          <w:rFonts w:hint="eastAsia" w:ascii="黑体" w:hAnsi="黑体" w:eastAsia="黑体" w:cs="仿宋_GB2312"/>
          <w:kern w:val="0"/>
          <w:sz w:val="32"/>
          <w:szCs w:val="32"/>
        </w:rPr>
        <w:t>一、</w:t>
      </w:r>
      <w:r>
        <w:rPr>
          <w:rFonts w:hint="eastAsia" w:ascii="黑体" w:hAnsi="黑体" w:eastAsia="黑体"/>
          <w:kern w:val="0"/>
          <w:sz w:val="32"/>
          <w:szCs w:val="32"/>
        </w:rPr>
        <w:t>2024</w:t>
      </w:r>
      <w:r>
        <w:rPr>
          <w:rFonts w:hint="eastAsia" w:ascii="黑体" w:hAnsi="黑体" w:eastAsia="黑体" w:cs="仿宋_GB2312"/>
          <w:kern w:val="0"/>
          <w:sz w:val="32"/>
          <w:szCs w:val="32"/>
        </w:rPr>
        <w:t>年度收入支出决算总体情况</w:t>
      </w:r>
    </w:p>
    <w:p w14:paraId="3EC5FF47">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（一）本单位2024年度总收入1801.84万元，其中本年收入1801.84万元，</w:t>
      </w:r>
      <w:r>
        <w:rPr>
          <w:rFonts w:hint="eastAsia" w:ascii="仿宋_GB2312" w:hAnsi="黑体" w:eastAsia="仿宋_GB2312" w:cs="仿宋_GB2312"/>
          <w:kern w:val="0"/>
          <w:sz w:val="32"/>
          <w:szCs w:val="32"/>
        </w:rPr>
        <w:t>较2023年度决算数减少</w:t>
      </w:r>
      <w:r>
        <w:rPr>
          <w:rFonts w:hint="eastAsia" w:ascii="仿宋_GB2312" w:eastAsia="仿宋_GB2312" w:cs="仿宋_GB2312"/>
          <w:kern w:val="0"/>
          <w:sz w:val="32"/>
          <w:szCs w:val="32"/>
        </w:rPr>
        <w:t>255.22</w:t>
      </w:r>
      <w:r>
        <w:rPr>
          <w:rFonts w:hint="eastAsia" w:ascii="仿宋_GB2312" w:hAnsi="黑体" w:eastAsia="仿宋_GB2312" w:cs="仿宋_GB2312"/>
          <w:kern w:val="0"/>
          <w:sz w:val="32"/>
          <w:szCs w:val="32"/>
        </w:rPr>
        <w:t>万元，下降12.41%。</w:t>
      </w:r>
      <w:r>
        <w:rPr>
          <w:rFonts w:hint="eastAsia" w:ascii="仿宋_GB2312" w:eastAsia="仿宋_GB2312" w:cs="仿宋_GB2312"/>
          <w:kern w:val="0"/>
          <w:sz w:val="32"/>
          <w:szCs w:val="32"/>
        </w:rPr>
        <w:t>收入具体情况如下。</w:t>
      </w:r>
    </w:p>
    <w:p w14:paraId="295ADDEF">
      <w:pPr>
        <w:autoSpaceDE w:val="0"/>
        <w:autoSpaceDN w:val="0"/>
        <w:adjustRightInd w:val="0"/>
        <w:spacing w:line="560" w:lineRule="exact"/>
        <w:ind w:firstLine="627" w:firstLineChars="196"/>
        <w:rPr>
          <w:rFonts w:ascii="仿宋_GB2312" w:hAnsi="黑体" w:eastAsia="仿宋_GB2312" w:cs="仿宋_GB2312"/>
          <w:kern w:val="0"/>
          <w:sz w:val="32"/>
          <w:szCs w:val="32"/>
        </w:rPr>
      </w:pPr>
      <w:r>
        <w:rPr>
          <w:rFonts w:hint="eastAsia" w:ascii="仿宋_GB2312" w:eastAsia="仿宋_GB2312"/>
          <w:bCs/>
          <w:kern w:val="0"/>
          <w:sz w:val="32"/>
          <w:szCs w:val="32"/>
        </w:rPr>
        <w:t>1</w:t>
      </w:r>
      <w:r>
        <w:rPr>
          <w:rFonts w:hint="eastAsia" w:ascii="仿宋_GB2312" w:eastAsia="仿宋_GB2312" w:cs="仿宋_GB2312"/>
          <w:kern w:val="0"/>
          <w:sz w:val="32"/>
          <w:szCs w:val="32"/>
        </w:rPr>
        <w:t>.一般公共预算财政拨款收入1800.81万元，为自治区本级财政当年拨付的资金。</w:t>
      </w:r>
      <w:r>
        <w:rPr>
          <w:rFonts w:hint="eastAsia" w:ascii="仿宋_GB2312" w:hAnsi="黑体" w:eastAsia="仿宋_GB2312" w:cs="仿宋_GB2312"/>
          <w:kern w:val="0"/>
          <w:sz w:val="32"/>
          <w:szCs w:val="32"/>
        </w:rPr>
        <w:t>较2023年度决算数减少256.25万元，下降12.46%，主要原因是2024年项目资金减少及人员经费减少。</w:t>
      </w:r>
    </w:p>
    <w:p w14:paraId="4594F54E">
      <w:pPr>
        <w:autoSpaceDE w:val="0"/>
        <w:autoSpaceDN w:val="0"/>
        <w:adjustRightInd w:val="0"/>
        <w:spacing w:line="560" w:lineRule="exact"/>
        <w:ind w:firstLine="627" w:firstLineChars="196"/>
        <w:rPr>
          <w:rFonts w:ascii="仿宋_GB2312" w:eastAsia="仿宋_GB2312" w:cs="仿宋_GB2312"/>
          <w:kern w:val="0"/>
          <w:sz w:val="32"/>
          <w:szCs w:val="32"/>
        </w:rPr>
      </w:pPr>
      <w:r>
        <w:rPr>
          <w:rFonts w:hint="eastAsia" w:ascii="仿宋_GB2312" w:eastAsia="仿宋_GB2312" w:cs="仿宋_GB2312"/>
          <w:kern w:val="0"/>
          <w:sz w:val="32"/>
          <w:szCs w:val="32"/>
        </w:rPr>
        <w:t>2.政府性基金预算财政拨款收入0万元</w:t>
      </w:r>
      <w:r>
        <w:rPr>
          <w:rFonts w:hint="eastAsia" w:ascii="仿宋_GB2312" w:hAnsi="黑体" w:eastAsia="仿宋_GB2312" w:cs="仿宋_GB2312"/>
          <w:kern w:val="0"/>
          <w:sz w:val="32"/>
          <w:szCs w:val="32"/>
        </w:rPr>
        <w:t>，与上年持平。</w:t>
      </w:r>
    </w:p>
    <w:p w14:paraId="4125B08F">
      <w:pPr>
        <w:autoSpaceDE w:val="0"/>
        <w:autoSpaceDN w:val="0"/>
        <w:adjustRightInd w:val="0"/>
        <w:spacing w:line="560" w:lineRule="exact"/>
        <w:ind w:firstLine="627" w:firstLineChars="196"/>
        <w:rPr>
          <w:rFonts w:ascii="仿宋_GB2312" w:eastAsia="仿宋_GB2312" w:cs="仿宋_GB2312"/>
          <w:kern w:val="0"/>
          <w:sz w:val="32"/>
          <w:szCs w:val="32"/>
        </w:rPr>
      </w:pPr>
      <w:r>
        <w:rPr>
          <w:rFonts w:hint="eastAsia" w:ascii="仿宋_GB2312" w:eastAsia="仿宋_GB2312"/>
          <w:bCs/>
          <w:kern w:val="0"/>
          <w:sz w:val="32"/>
          <w:szCs w:val="32"/>
        </w:rPr>
        <w:t>3</w:t>
      </w:r>
      <w:r>
        <w:rPr>
          <w:rFonts w:hint="eastAsia" w:ascii="仿宋_GB2312" w:eastAsia="仿宋_GB2312" w:cs="仿宋_GB2312"/>
          <w:kern w:val="0"/>
          <w:sz w:val="32"/>
          <w:szCs w:val="32"/>
        </w:rPr>
        <w:t>.国有资本经营预算财政拨款收入0万元</w:t>
      </w:r>
      <w:r>
        <w:rPr>
          <w:rFonts w:hint="eastAsia" w:ascii="仿宋_GB2312" w:hAnsi="黑体" w:eastAsia="仿宋_GB2312" w:cs="仿宋_GB2312"/>
          <w:kern w:val="0"/>
          <w:sz w:val="32"/>
          <w:szCs w:val="32"/>
        </w:rPr>
        <w:t>，与上年持平。</w:t>
      </w:r>
    </w:p>
    <w:p w14:paraId="05467329">
      <w:pPr>
        <w:autoSpaceDE w:val="0"/>
        <w:autoSpaceDN w:val="0"/>
        <w:adjustRightInd w:val="0"/>
        <w:spacing w:line="560" w:lineRule="exact"/>
        <w:ind w:firstLine="627" w:firstLineChars="196"/>
        <w:rPr>
          <w:rFonts w:ascii="仿宋_GB2312" w:eastAsia="仿宋_GB2312" w:cs="仿宋_GB2312"/>
          <w:kern w:val="0"/>
          <w:sz w:val="32"/>
          <w:szCs w:val="32"/>
        </w:rPr>
      </w:pPr>
      <w:r>
        <w:rPr>
          <w:rFonts w:hint="eastAsia" w:ascii="仿宋_GB2312" w:eastAsia="仿宋_GB2312" w:cs="仿宋_GB2312"/>
          <w:kern w:val="0"/>
          <w:sz w:val="32"/>
          <w:szCs w:val="32"/>
        </w:rPr>
        <w:t>4.事业收入1.04万元，为事业单位开展业务活动取得的收入。</w:t>
      </w:r>
      <w:r>
        <w:rPr>
          <w:rFonts w:hint="eastAsia" w:ascii="仿宋_GB2312" w:hAnsi="黑体" w:eastAsia="仿宋_GB2312" w:cs="仿宋_GB2312"/>
          <w:kern w:val="0"/>
          <w:sz w:val="32"/>
          <w:szCs w:val="32"/>
        </w:rPr>
        <w:t>较2023年度决算数增加1.04万元，增长100.00 %，主要原因是2024年我中心有灾毁理赔收入</w:t>
      </w:r>
      <w:r>
        <w:rPr>
          <w:rFonts w:hint="eastAsia" w:ascii="仿宋_GB2312" w:eastAsia="仿宋_GB2312" w:cs="仿宋_GB2312"/>
          <w:kern w:val="0"/>
          <w:sz w:val="32"/>
          <w:szCs w:val="32"/>
        </w:rPr>
        <w:t>。</w:t>
      </w:r>
    </w:p>
    <w:p w14:paraId="5ED2D23C">
      <w:pPr>
        <w:autoSpaceDE w:val="0"/>
        <w:autoSpaceDN w:val="0"/>
        <w:adjustRightInd w:val="0"/>
        <w:spacing w:line="560" w:lineRule="exact"/>
        <w:ind w:firstLine="627" w:firstLineChars="196"/>
        <w:rPr>
          <w:rFonts w:ascii="仿宋_GB2312" w:eastAsia="仿宋_GB2312" w:cs="仿宋_GB2312"/>
          <w:kern w:val="0"/>
          <w:sz w:val="32"/>
          <w:szCs w:val="32"/>
        </w:rPr>
      </w:pPr>
      <w:r>
        <w:rPr>
          <w:rFonts w:hint="eastAsia" w:ascii="仿宋_GB2312" w:eastAsia="仿宋_GB2312"/>
          <w:bCs/>
          <w:kern w:val="0"/>
          <w:sz w:val="32"/>
          <w:szCs w:val="32"/>
        </w:rPr>
        <w:t>5</w:t>
      </w:r>
      <w:r>
        <w:rPr>
          <w:rFonts w:hint="eastAsia" w:ascii="仿宋_GB2312" w:eastAsia="仿宋_GB2312" w:cs="仿宋_GB2312"/>
          <w:kern w:val="0"/>
          <w:sz w:val="32"/>
          <w:szCs w:val="32"/>
        </w:rPr>
        <w:t>.经营收0万元，为事业单位在业务活动之外开展非独立核算经营活动取得的收入，</w:t>
      </w:r>
      <w:r>
        <w:rPr>
          <w:rFonts w:hint="eastAsia" w:ascii="仿宋_GB2312" w:hAnsi="黑体" w:eastAsia="仿宋_GB2312" w:cs="仿宋_GB2312"/>
          <w:kern w:val="0"/>
          <w:sz w:val="32"/>
          <w:szCs w:val="32"/>
        </w:rPr>
        <w:t>与2023年决算数持平。</w:t>
      </w:r>
    </w:p>
    <w:p w14:paraId="601F0F5E">
      <w:pPr>
        <w:autoSpaceDE w:val="0"/>
        <w:autoSpaceDN w:val="0"/>
        <w:adjustRightInd w:val="0"/>
        <w:spacing w:line="560" w:lineRule="exact"/>
        <w:ind w:firstLine="627" w:firstLineChars="196"/>
        <w:rPr>
          <w:rFonts w:ascii="仿宋_GB2312" w:eastAsia="仿宋_GB2312" w:cs="仿宋_GB2312"/>
          <w:kern w:val="0"/>
          <w:sz w:val="32"/>
          <w:szCs w:val="32"/>
        </w:rPr>
      </w:pPr>
      <w:r>
        <w:rPr>
          <w:rFonts w:hint="eastAsia" w:ascii="仿宋_GB2312" w:eastAsia="仿宋_GB2312"/>
          <w:bCs/>
          <w:kern w:val="0"/>
          <w:sz w:val="32"/>
          <w:szCs w:val="32"/>
        </w:rPr>
        <w:t>6</w:t>
      </w:r>
      <w:r>
        <w:rPr>
          <w:rFonts w:hint="eastAsia" w:ascii="仿宋_GB2312" w:eastAsia="仿宋_GB2312" w:cs="仿宋_GB2312"/>
          <w:kern w:val="0"/>
          <w:sz w:val="32"/>
          <w:szCs w:val="32"/>
        </w:rPr>
        <w:t>.其他收入0万元，为预算单位在</w:t>
      </w:r>
      <w:r>
        <w:rPr>
          <w:rFonts w:hint="eastAsia" w:ascii="仿宋_GB2312" w:eastAsia="仿宋_GB2312"/>
          <w:kern w:val="0"/>
          <w:sz w:val="32"/>
          <w:szCs w:val="32"/>
        </w:rPr>
        <w:t>“</w:t>
      </w:r>
      <w:r>
        <w:rPr>
          <w:rFonts w:hint="eastAsia" w:ascii="仿宋_GB2312" w:eastAsia="仿宋_GB2312" w:cs="仿宋_GB2312"/>
          <w:kern w:val="0"/>
          <w:sz w:val="32"/>
          <w:szCs w:val="32"/>
        </w:rPr>
        <w:t>财政拨款收入</w:t>
      </w:r>
      <w:r>
        <w:rPr>
          <w:rFonts w:hint="eastAsia" w:ascii="仿宋_GB2312" w:eastAsia="仿宋_GB2312"/>
          <w:kern w:val="0"/>
          <w:sz w:val="32"/>
          <w:szCs w:val="32"/>
        </w:rPr>
        <w:t>”</w:t>
      </w:r>
    </w:p>
    <w:p w14:paraId="462E570C">
      <w:pPr>
        <w:autoSpaceDE w:val="0"/>
        <w:autoSpaceDN w:val="0"/>
        <w:adjustRightInd w:val="0"/>
        <w:spacing w:line="560" w:lineRule="exact"/>
        <w:rPr>
          <w:rFonts w:ascii="仿宋_GB2312" w:eastAsia="仿宋_GB2312" w:cs="仿宋_GB2312"/>
          <w:kern w:val="0"/>
          <w:sz w:val="32"/>
          <w:szCs w:val="32"/>
        </w:rPr>
      </w:pPr>
      <w:r>
        <w:rPr>
          <w:rFonts w:hint="eastAsia" w:ascii="仿宋_GB2312" w:eastAsia="仿宋_GB2312"/>
          <w:kern w:val="0"/>
          <w:sz w:val="32"/>
          <w:szCs w:val="32"/>
        </w:rPr>
        <w:t>“</w:t>
      </w:r>
      <w:r>
        <w:rPr>
          <w:rFonts w:hint="eastAsia" w:ascii="仿宋_GB2312" w:eastAsia="仿宋_GB2312" w:cs="仿宋_GB2312"/>
          <w:kern w:val="0"/>
          <w:sz w:val="32"/>
          <w:szCs w:val="32"/>
        </w:rPr>
        <w:t>事业收入</w:t>
      </w:r>
      <w:r>
        <w:rPr>
          <w:rFonts w:hint="eastAsia" w:ascii="仿宋_GB2312" w:eastAsia="仿宋_GB2312"/>
          <w:kern w:val="0"/>
          <w:sz w:val="32"/>
          <w:szCs w:val="32"/>
        </w:rPr>
        <w:t>”“</w:t>
      </w:r>
      <w:r>
        <w:rPr>
          <w:rFonts w:hint="eastAsia" w:ascii="仿宋_GB2312" w:eastAsia="仿宋_GB2312" w:cs="仿宋_GB2312"/>
          <w:kern w:val="0"/>
          <w:sz w:val="32"/>
          <w:szCs w:val="32"/>
        </w:rPr>
        <w:t>经营收入</w:t>
      </w:r>
      <w:r>
        <w:rPr>
          <w:rFonts w:hint="eastAsia" w:ascii="仿宋_GB2312" w:eastAsia="仿宋_GB2312"/>
          <w:kern w:val="0"/>
          <w:sz w:val="32"/>
          <w:szCs w:val="32"/>
        </w:rPr>
        <w:t>”</w:t>
      </w:r>
      <w:r>
        <w:rPr>
          <w:rFonts w:hint="eastAsia" w:ascii="仿宋_GB2312" w:eastAsia="仿宋_GB2312" w:cs="仿宋_GB2312"/>
          <w:kern w:val="0"/>
          <w:sz w:val="32"/>
          <w:szCs w:val="32"/>
        </w:rPr>
        <w:t>之外取得的收入。与</w:t>
      </w:r>
      <w:r>
        <w:rPr>
          <w:rFonts w:hint="eastAsia" w:ascii="仿宋_GB2312" w:hAnsi="黑体" w:eastAsia="仿宋_GB2312" w:cs="仿宋_GB2312"/>
          <w:kern w:val="0"/>
          <w:sz w:val="32"/>
          <w:szCs w:val="32"/>
        </w:rPr>
        <w:t>较2023年度决算数持平。</w:t>
      </w:r>
    </w:p>
    <w:p w14:paraId="73972FEB">
      <w:pPr>
        <w:autoSpaceDE w:val="0"/>
        <w:autoSpaceDN w:val="0"/>
        <w:adjustRightInd w:val="0"/>
        <w:spacing w:line="560" w:lineRule="exact"/>
        <w:ind w:firstLine="627" w:firstLineChars="196"/>
        <w:rPr>
          <w:rFonts w:ascii="仿宋_GB2312" w:eastAsia="仿宋_GB2312" w:cs="仿宋_GB2312"/>
          <w:kern w:val="0"/>
          <w:sz w:val="32"/>
          <w:szCs w:val="32"/>
        </w:rPr>
      </w:pPr>
      <w:r>
        <w:rPr>
          <w:rFonts w:hint="eastAsia" w:ascii="仿宋_GB2312" w:eastAsia="仿宋_GB2312"/>
          <w:bCs/>
          <w:kern w:val="0"/>
          <w:sz w:val="32"/>
          <w:szCs w:val="32"/>
        </w:rPr>
        <w:t>7</w:t>
      </w:r>
      <w:r>
        <w:rPr>
          <w:rFonts w:hint="eastAsia" w:ascii="仿宋_GB2312" w:eastAsia="仿宋_GB2312" w:cs="仿宋_GB2312"/>
          <w:kern w:val="0"/>
          <w:sz w:val="32"/>
          <w:szCs w:val="32"/>
        </w:rPr>
        <w:t>.使用非财政拨款结余（含专用结余）0万元，主要是所属事业单位在当年的</w:t>
      </w:r>
      <w:r>
        <w:rPr>
          <w:rFonts w:hint="eastAsia" w:ascii="仿宋_GB2312" w:eastAsia="仿宋_GB2312"/>
          <w:kern w:val="0"/>
          <w:sz w:val="32"/>
          <w:szCs w:val="32"/>
        </w:rPr>
        <w:t>“</w:t>
      </w:r>
      <w:r>
        <w:rPr>
          <w:rFonts w:hint="eastAsia" w:ascii="仿宋_GB2312" w:eastAsia="仿宋_GB2312" w:cs="仿宋_GB2312"/>
          <w:kern w:val="0"/>
          <w:sz w:val="32"/>
          <w:szCs w:val="32"/>
        </w:rPr>
        <w:t>财政拨款收入</w:t>
      </w:r>
      <w:r>
        <w:rPr>
          <w:rFonts w:hint="eastAsia" w:ascii="仿宋_GB2312" w:eastAsia="仿宋_GB2312"/>
          <w:kern w:val="0"/>
          <w:sz w:val="32"/>
          <w:szCs w:val="32"/>
        </w:rPr>
        <w:t>”“</w:t>
      </w:r>
      <w:r>
        <w:rPr>
          <w:rFonts w:hint="eastAsia" w:ascii="仿宋_GB2312" w:eastAsia="仿宋_GB2312" w:cs="仿宋_GB2312"/>
          <w:kern w:val="0"/>
          <w:sz w:val="32"/>
          <w:szCs w:val="32"/>
        </w:rPr>
        <w:t>事业收入</w:t>
      </w:r>
      <w:r>
        <w:rPr>
          <w:rFonts w:hint="eastAsia" w:ascii="仿宋_GB2312" w:eastAsia="仿宋_GB2312"/>
          <w:kern w:val="0"/>
          <w:sz w:val="32"/>
          <w:szCs w:val="32"/>
        </w:rPr>
        <w:t>”“</w:t>
      </w:r>
      <w:r>
        <w:rPr>
          <w:rFonts w:hint="eastAsia" w:ascii="仿宋_GB2312" w:eastAsia="仿宋_GB2312" w:cs="仿宋_GB2312"/>
          <w:kern w:val="0"/>
          <w:sz w:val="32"/>
          <w:szCs w:val="32"/>
        </w:rPr>
        <w:t>经营收入</w:t>
      </w:r>
      <w:r>
        <w:rPr>
          <w:rFonts w:hint="eastAsia" w:ascii="仿宋_GB2312" w:eastAsia="仿宋_GB2312"/>
          <w:kern w:val="0"/>
          <w:sz w:val="32"/>
          <w:szCs w:val="32"/>
        </w:rPr>
        <w:t>”</w:t>
      </w:r>
      <w:r>
        <w:rPr>
          <w:rFonts w:hint="eastAsia" w:ascii="仿宋_GB2312" w:eastAsia="仿宋_GB2312" w:cs="仿宋_GB2312"/>
          <w:kern w:val="0"/>
          <w:sz w:val="32"/>
          <w:szCs w:val="32"/>
        </w:rPr>
        <w:t>及</w:t>
      </w:r>
      <w:r>
        <w:rPr>
          <w:rFonts w:hint="eastAsia" w:ascii="仿宋_GB2312" w:eastAsia="仿宋_GB2312"/>
          <w:kern w:val="0"/>
          <w:sz w:val="32"/>
          <w:szCs w:val="32"/>
        </w:rPr>
        <w:t>“</w:t>
      </w:r>
      <w:r>
        <w:rPr>
          <w:rFonts w:hint="eastAsia" w:ascii="仿宋_GB2312" w:eastAsia="仿宋_GB2312" w:cs="仿宋_GB2312"/>
          <w:kern w:val="0"/>
          <w:sz w:val="32"/>
          <w:szCs w:val="32"/>
        </w:rPr>
        <w:t>其他收入</w:t>
      </w:r>
      <w:r>
        <w:rPr>
          <w:rFonts w:hint="eastAsia" w:ascii="仿宋_GB2312" w:eastAsia="仿宋_GB2312"/>
          <w:kern w:val="0"/>
          <w:sz w:val="32"/>
          <w:szCs w:val="32"/>
        </w:rPr>
        <w:t>”</w:t>
      </w:r>
      <w:r>
        <w:rPr>
          <w:rFonts w:hint="eastAsia" w:ascii="仿宋_GB2312" w:eastAsia="仿宋_GB2312" w:cs="仿宋_GB2312"/>
          <w:kern w:val="0"/>
          <w:sz w:val="32"/>
          <w:szCs w:val="32"/>
        </w:rPr>
        <w:t>不能保证其支出的情况下，使用以前年度积累的非财政拨款结余、</w:t>
      </w:r>
      <w:r>
        <w:rPr>
          <w:rFonts w:hint="eastAsia" w:ascii="仿宋_GB2312" w:eastAsia="仿宋_GB2312"/>
          <w:sz w:val="32"/>
          <w:szCs w:val="32"/>
        </w:rPr>
        <w:t>专用结余</w:t>
      </w:r>
      <w:r>
        <w:rPr>
          <w:rFonts w:hint="eastAsia" w:ascii="仿宋_GB2312" w:eastAsia="仿宋_GB2312" w:cs="仿宋_GB2312"/>
          <w:kern w:val="0"/>
          <w:sz w:val="32"/>
          <w:szCs w:val="32"/>
        </w:rPr>
        <w:t>弥补本年度收支缺口的资金。</w:t>
      </w:r>
      <w:r>
        <w:rPr>
          <w:rFonts w:hint="eastAsia" w:ascii="仿宋_GB2312" w:hAnsi="黑体" w:eastAsia="仿宋_GB2312" w:cs="仿宋_GB2312"/>
          <w:kern w:val="0"/>
          <w:sz w:val="32"/>
          <w:szCs w:val="32"/>
        </w:rPr>
        <w:t>与2023年度决算数持平。</w:t>
      </w:r>
    </w:p>
    <w:p w14:paraId="7B05E8B7">
      <w:pPr>
        <w:autoSpaceDE w:val="0"/>
        <w:autoSpaceDN w:val="0"/>
        <w:adjustRightInd w:val="0"/>
        <w:spacing w:line="560" w:lineRule="exact"/>
        <w:ind w:firstLine="627" w:firstLineChars="196"/>
        <w:rPr>
          <w:rFonts w:ascii="仿宋_GB2312" w:eastAsia="仿宋_GB2312" w:cs="仿宋_GB2312"/>
          <w:kern w:val="0"/>
          <w:sz w:val="32"/>
          <w:szCs w:val="32"/>
        </w:rPr>
      </w:pPr>
      <w:r>
        <w:rPr>
          <w:rFonts w:hint="eastAsia" w:ascii="仿宋_GB2312" w:eastAsia="仿宋_GB2312"/>
          <w:bCs/>
          <w:kern w:val="0"/>
          <w:sz w:val="32"/>
          <w:szCs w:val="32"/>
        </w:rPr>
        <w:t>8</w:t>
      </w:r>
      <w:r>
        <w:rPr>
          <w:rFonts w:hint="eastAsia" w:ascii="仿宋_GB2312" w:eastAsia="仿宋_GB2312" w:cs="仿宋_GB2312"/>
          <w:kern w:val="0"/>
          <w:sz w:val="32"/>
          <w:szCs w:val="32"/>
        </w:rPr>
        <w:t>.上年结转和结余0万元，为以前年度支出预算因客观条件变化未执行完毕、结转到本年度按有关规定继续使用的资金。</w:t>
      </w:r>
      <w:r>
        <w:rPr>
          <w:rFonts w:hint="eastAsia" w:ascii="仿宋_GB2312" w:hAnsi="黑体" w:eastAsia="仿宋_GB2312" w:cs="仿宋_GB2312"/>
          <w:kern w:val="0"/>
          <w:sz w:val="32"/>
          <w:szCs w:val="32"/>
        </w:rPr>
        <w:t>与2023年度决算数持平。</w:t>
      </w:r>
    </w:p>
    <w:p w14:paraId="6BEC38DA">
      <w:pPr>
        <w:autoSpaceDE w:val="0"/>
        <w:autoSpaceDN w:val="0"/>
        <w:adjustRightInd w:val="0"/>
        <w:spacing w:line="560" w:lineRule="exact"/>
        <w:ind w:firstLine="627" w:firstLineChars="196"/>
        <w:rPr>
          <w:rFonts w:ascii="仿宋_GB2312" w:eastAsia="仿宋_GB2312" w:cs="仿宋_GB2312"/>
          <w:kern w:val="0"/>
          <w:sz w:val="32"/>
          <w:szCs w:val="32"/>
        </w:rPr>
      </w:pPr>
      <w:r>
        <w:rPr>
          <w:rFonts w:hint="eastAsia" w:ascii="仿宋_GB2312" w:eastAsia="仿宋_GB2312" w:cs="仿宋_GB2312"/>
          <w:kern w:val="0"/>
          <w:sz w:val="32"/>
          <w:szCs w:val="32"/>
        </w:rPr>
        <w:t xml:space="preserve">（二）本单位2024年度总支出1801.84万元，其中本年支出1801.84万元, </w:t>
      </w:r>
      <w:r>
        <w:rPr>
          <w:rFonts w:hint="eastAsia" w:ascii="仿宋_GB2312" w:hAnsi="黑体" w:eastAsia="仿宋_GB2312" w:cs="仿宋_GB2312"/>
          <w:kern w:val="0"/>
          <w:sz w:val="32"/>
          <w:szCs w:val="32"/>
        </w:rPr>
        <w:t>较2023年度决算数减少255.22万元，下降12.41%。</w:t>
      </w:r>
      <w:r>
        <w:rPr>
          <w:rFonts w:hint="eastAsia" w:ascii="仿宋_GB2312" w:eastAsia="仿宋_GB2312" w:cs="仿宋_GB2312"/>
          <w:kern w:val="0"/>
          <w:sz w:val="32"/>
          <w:szCs w:val="32"/>
        </w:rPr>
        <w:t>支出具体情况如下：</w:t>
      </w:r>
    </w:p>
    <w:p w14:paraId="0B5D0AEF">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1.社会保障和就业支出161.77万元，占总支出的8.98%，与2023年度相比，减少5.49万元，下降3.28%，主要原因为</w:t>
      </w:r>
      <w:r>
        <w:rPr>
          <w:rFonts w:ascii="仿宋_GB2312" w:hAnsi="宋体" w:eastAsia="仿宋_GB2312" w:cs="仿宋_GB2312"/>
          <w:color w:val="000000"/>
          <w:sz w:val="31"/>
          <w:szCs w:val="31"/>
          <w:shd w:val="clear" w:color="auto" w:fill="FFFFFF"/>
        </w:rPr>
        <w:t>单位人员变动及社保基数调整</w:t>
      </w:r>
      <w:r>
        <w:rPr>
          <w:rFonts w:hint="eastAsia" w:ascii="仿宋_GB2312" w:hAnsi="黑体" w:eastAsia="仿宋_GB2312" w:cs="仿宋_GB2312"/>
          <w:kern w:val="0"/>
          <w:sz w:val="32"/>
          <w:szCs w:val="32"/>
        </w:rPr>
        <w:t>。</w:t>
      </w:r>
    </w:p>
    <w:p w14:paraId="2B1DAFE2">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2.卫生健康支出22.94万元，占总支出的1.27%，与2023年度相比减少4.71万元，下降17.03%，主要原因为</w:t>
      </w:r>
      <w:r>
        <w:rPr>
          <w:rFonts w:ascii="仿宋_GB2312" w:hAnsi="宋体" w:eastAsia="仿宋_GB2312" w:cs="仿宋_GB2312"/>
          <w:color w:val="000000"/>
          <w:sz w:val="31"/>
          <w:szCs w:val="31"/>
          <w:shd w:val="clear" w:color="auto" w:fill="FFFFFF"/>
        </w:rPr>
        <w:t>单位人员变动及社保基数调整</w:t>
      </w:r>
      <w:r>
        <w:rPr>
          <w:rFonts w:hint="eastAsia" w:ascii="仿宋_GB2312" w:hAnsi="黑体" w:eastAsia="仿宋_GB2312" w:cs="仿宋_GB2312"/>
          <w:kern w:val="0"/>
          <w:sz w:val="32"/>
          <w:szCs w:val="32"/>
        </w:rPr>
        <w:t>。</w:t>
      </w:r>
    </w:p>
    <w:p w14:paraId="13881F3A">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3.交通运输支出1579.93万元，占总支出的87.68%，与2023年度相比减少237.38万元，下降13.06%，主要原因为我中心2024年度项目减少；</w:t>
      </w:r>
    </w:p>
    <w:p w14:paraId="3BD22CC2">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4.住房保障支出37.20万元，占总支出的2.06%，与2023年度相比减少7.64万元，下降17.04%，主要原因为人员变动及住房公积金缴费基数调整。</w:t>
      </w:r>
    </w:p>
    <w:p w14:paraId="027BC6DF">
      <w:pPr>
        <w:autoSpaceDE w:val="0"/>
        <w:autoSpaceDN w:val="0"/>
        <w:adjustRightInd w:val="0"/>
        <w:spacing w:line="560" w:lineRule="exact"/>
        <w:ind w:firstLine="640" w:firstLineChars="200"/>
        <w:rPr>
          <w:rFonts w:ascii="黑体" w:hAnsi="黑体" w:eastAsia="黑体" w:cs="仿宋_GB2312"/>
          <w:kern w:val="0"/>
          <w:sz w:val="32"/>
          <w:szCs w:val="32"/>
        </w:rPr>
      </w:pPr>
      <w:r>
        <w:rPr>
          <w:rFonts w:hint="eastAsia" w:ascii="黑体" w:hAnsi="黑体" w:eastAsia="黑体" w:cs="仿宋_GB2312"/>
          <w:kern w:val="0"/>
          <w:sz w:val="32"/>
          <w:szCs w:val="32"/>
        </w:rPr>
        <w:t>二、</w:t>
      </w:r>
      <w:r>
        <w:rPr>
          <w:rFonts w:hint="eastAsia" w:ascii="黑体" w:hAnsi="黑体" w:eastAsia="黑体"/>
          <w:kern w:val="0"/>
          <w:sz w:val="32"/>
          <w:szCs w:val="32"/>
        </w:rPr>
        <w:t>2024</w:t>
      </w:r>
      <w:r>
        <w:rPr>
          <w:rFonts w:hint="eastAsia" w:ascii="黑体" w:hAnsi="黑体" w:eastAsia="黑体" w:cs="仿宋_GB2312"/>
          <w:kern w:val="0"/>
          <w:sz w:val="32"/>
          <w:szCs w:val="32"/>
        </w:rPr>
        <w:t>年度</w:t>
      </w:r>
      <w:r>
        <w:rPr>
          <w:rFonts w:hint="eastAsia" w:ascii="黑体" w:hAnsi="黑体" w:eastAsia="黑体"/>
          <w:sz w:val="32"/>
          <w:szCs w:val="32"/>
        </w:rPr>
        <w:t>一般</w:t>
      </w:r>
      <w:r>
        <w:rPr>
          <w:rFonts w:hint="eastAsia" w:ascii="黑体" w:hAnsi="黑体" w:eastAsia="黑体" w:cs="仿宋_GB2312"/>
          <w:kern w:val="0"/>
          <w:sz w:val="32"/>
          <w:szCs w:val="32"/>
        </w:rPr>
        <w:t>公共预算财政拨款支出决算情况</w:t>
      </w:r>
    </w:p>
    <w:p w14:paraId="231CD16A">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hAnsi="Times New Roman" w:eastAsia="仿宋_GB2312"/>
          <w:bCs w:val="0"/>
          <w:color w:val="auto"/>
          <w:kern w:val="0"/>
          <w:sz w:val="32"/>
          <w:szCs w:val="32"/>
          <w:u w:val="none"/>
        </w:rPr>
        <w:t>广西壮族自治区恭城公路养护中心</w:t>
      </w:r>
      <w:r>
        <w:rPr>
          <w:rFonts w:hint="eastAsia" w:ascii="仿宋_GB2312" w:eastAsia="仿宋_GB2312"/>
          <w:kern w:val="0"/>
          <w:sz w:val="32"/>
          <w:szCs w:val="32"/>
        </w:rPr>
        <w:t>2024</w:t>
      </w:r>
      <w:r>
        <w:rPr>
          <w:rFonts w:hint="eastAsia" w:ascii="仿宋_GB2312" w:eastAsia="仿宋_GB2312" w:cs="仿宋_GB2312"/>
          <w:kern w:val="0"/>
          <w:sz w:val="32"/>
          <w:szCs w:val="32"/>
        </w:rPr>
        <w:t>年度</w:t>
      </w:r>
      <w:r>
        <w:rPr>
          <w:rFonts w:hint="eastAsia" w:ascii="仿宋_GB2312" w:eastAsia="仿宋_GB2312"/>
          <w:sz w:val="32"/>
          <w:szCs w:val="32"/>
        </w:rPr>
        <w:t>一般</w:t>
      </w:r>
      <w:r>
        <w:rPr>
          <w:rFonts w:hint="eastAsia" w:ascii="仿宋_GB2312" w:eastAsia="仿宋_GB2312" w:cs="仿宋_GB2312"/>
          <w:kern w:val="0"/>
          <w:sz w:val="32"/>
          <w:szCs w:val="32"/>
        </w:rPr>
        <w:t>公共预算财政拨款支出 1800.81万元，</w:t>
      </w:r>
      <w:r>
        <w:rPr>
          <w:rFonts w:hint="eastAsia" w:ascii="仿宋_GB2312" w:hAnsi="黑体" w:eastAsia="仿宋_GB2312" w:cs="仿宋_GB2312"/>
          <w:kern w:val="0"/>
          <w:sz w:val="32"/>
          <w:szCs w:val="32"/>
        </w:rPr>
        <w:t>较2023年度决算数减少256.25万元，下降12.46%。</w:t>
      </w:r>
      <w:r>
        <w:rPr>
          <w:rFonts w:hint="eastAsia" w:ascii="仿宋_GB2312" w:eastAsia="仿宋_GB2312" w:cs="仿宋_GB2312"/>
          <w:kern w:val="0"/>
          <w:sz w:val="32"/>
          <w:szCs w:val="32"/>
        </w:rPr>
        <w:t>其中：基本支出793.31万元，项目支出1007.50万元。</w:t>
      </w:r>
    </w:p>
    <w:p w14:paraId="17BFA968">
      <w:pPr>
        <w:autoSpaceDE w:val="0"/>
        <w:autoSpaceDN w:val="0"/>
        <w:adjustRightInd w:val="0"/>
        <w:spacing w:line="560" w:lineRule="exact"/>
        <w:ind w:firstLine="640" w:firstLineChars="200"/>
        <w:rPr>
          <w:rFonts w:ascii="仿宋_GB2312" w:hAnsi="黑体" w:eastAsia="仿宋_GB2312" w:cs="仿宋_GB2312"/>
          <w:kern w:val="0"/>
          <w:sz w:val="32"/>
          <w:szCs w:val="32"/>
        </w:rPr>
      </w:pPr>
      <w:r>
        <w:rPr>
          <w:rFonts w:hint="eastAsia" w:ascii="仿宋_GB2312" w:hAnsi="黑体" w:eastAsia="仿宋_GB2312"/>
          <w:bCs w:val="0"/>
          <w:color w:val="auto"/>
          <w:kern w:val="0"/>
          <w:sz w:val="32"/>
          <w:szCs w:val="32"/>
          <w:u w:val="none"/>
        </w:rPr>
        <w:t>广西壮族自治区恭城公路养护中心</w:t>
      </w:r>
      <w:r>
        <w:rPr>
          <w:rFonts w:hint="eastAsia" w:ascii="仿宋_GB2312" w:hAnsi="黑体" w:eastAsia="仿宋_GB2312"/>
          <w:kern w:val="0"/>
          <w:sz w:val="32"/>
          <w:szCs w:val="32"/>
        </w:rPr>
        <w:t>2024</w:t>
      </w:r>
      <w:r>
        <w:rPr>
          <w:rFonts w:hint="eastAsia" w:ascii="仿宋_GB2312" w:hAnsi="黑体" w:eastAsia="仿宋_GB2312" w:cs="仿宋_GB2312"/>
          <w:kern w:val="0"/>
          <w:sz w:val="32"/>
          <w:szCs w:val="32"/>
        </w:rPr>
        <w:t>年度</w:t>
      </w:r>
      <w:r>
        <w:rPr>
          <w:rFonts w:hint="eastAsia" w:ascii="仿宋_GB2312" w:hAnsi="黑体" w:eastAsia="仿宋_GB2312"/>
          <w:sz w:val="32"/>
          <w:szCs w:val="32"/>
        </w:rPr>
        <w:t>一般</w:t>
      </w:r>
      <w:r>
        <w:rPr>
          <w:rFonts w:hint="eastAsia" w:ascii="仿宋_GB2312" w:hAnsi="黑体" w:eastAsia="仿宋_GB2312" w:cs="仿宋_GB2312"/>
          <w:kern w:val="0"/>
          <w:sz w:val="32"/>
          <w:szCs w:val="32"/>
        </w:rPr>
        <w:t>公共预算财政拨款支出年初预算为</w:t>
      </w:r>
      <w:r>
        <w:rPr>
          <w:rFonts w:hint="eastAsia" w:ascii="仿宋_GB2312" w:eastAsia="仿宋_GB2312" w:cs="仿宋_GB2312"/>
          <w:kern w:val="0"/>
          <w:sz w:val="32"/>
          <w:szCs w:val="32"/>
        </w:rPr>
        <w:t>1897.32</w:t>
      </w:r>
      <w:r>
        <w:rPr>
          <w:rFonts w:hint="eastAsia" w:ascii="仿宋_GB2312" w:hAnsi="黑体" w:eastAsia="仿宋_GB2312" w:cs="仿宋_GB2312"/>
          <w:kern w:val="0"/>
          <w:sz w:val="32"/>
          <w:szCs w:val="32"/>
        </w:rPr>
        <w:t>万元，支出决算为</w:t>
      </w:r>
      <w:r>
        <w:rPr>
          <w:rFonts w:hint="eastAsia" w:ascii="仿宋_GB2312" w:eastAsia="仿宋_GB2312" w:cs="仿宋_GB2312"/>
          <w:kern w:val="0"/>
          <w:sz w:val="32"/>
          <w:szCs w:val="32"/>
        </w:rPr>
        <w:t>1800.81</w:t>
      </w:r>
      <w:r>
        <w:rPr>
          <w:rFonts w:hint="eastAsia" w:ascii="仿宋_GB2312" w:hAnsi="黑体" w:eastAsia="仿宋_GB2312" w:cs="仿宋_GB2312"/>
          <w:kern w:val="0"/>
          <w:sz w:val="32"/>
          <w:szCs w:val="32"/>
        </w:rPr>
        <w:t>万元，完成年初预算的</w:t>
      </w:r>
      <w:r>
        <w:rPr>
          <w:rFonts w:hint="eastAsia" w:ascii="仿宋_GB2312" w:eastAsia="仿宋_GB2312" w:cs="仿宋_GB2312"/>
          <w:kern w:val="0"/>
          <w:sz w:val="32"/>
          <w:szCs w:val="32"/>
        </w:rPr>
        <w:t>94.91</w:t>
      </w:r>
      <w:r>
        <w:rPr>
          <w:rFonts w:hint="eastAsia" w:ascii="仿宋_GB2312" w:hAnsi="黑体" w:eastAsia="仿宋_GB2312" w:cs="仿宋_GB2312"/>
          <w:kern w:val="0"/>
          <w:sz w:val="32"/>
          <w:szCs w:val="32"/>
        </w:rPr>
        <w:t>%，主要原因为我中心落实过紧日子要求压缩了事业单位运行经费开支和人员退休减少6人，因此减少了支出预算。</w:t>
      </w:r>
    </w:p>
    <w:p w14:paraId="12050AE3">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（一）社会保障和就业支出（类）</w:t>
      </w:r>
    </w:p>
    <w:p w14:paraId="00FCE644">
      <w:pPr>
        <w:autoSpaceDE w:val="0"/>
        <w:autoSpaceDN w:val="0"/>
        <w:adjustRightInd w:val="0"/>
        <w:spacing w:line="560" w:lineRule="exact"/>
        <w:ind w:firstLine="640" w:firstLineChars="200"/>
        <w:jc w:val="left"/>
        <w:rPr>
          <w:rFonts w:ascii="仿宋_GB2312" w:eastAsia="仿宋_GB2312"/>
          <w:kern w:val="0"/>
          <w:sz w:val="32"/>
          <w:szCs w:val="32"/>
        </w:rPr>
      </w:pPr>
      <w:r>
        <w:rPr>
          <w:rFonts w:hint="eastAsia" w:ascii="仿宋_GB2312" w:eastAsia="仿宋_GB2312"/>
          <w:kern w:val="0"/>
          <w:sz w:val="32"/>
          <w:szCs w:val="32"/>
        </w:rPr>
        <w:t>1.行政事业单位养老支出（款）事业单位离退休（项）2024年度</w:t>
      </w:r>
      <w:r>
        <w:rPr>
          <w:rFonts w:hint="eastAsia" w:ascii="仿宋_GB2312" w:eastAsia="仿宋_GB2312"/>
          <w:color w:val="000000"/>
          <w:kern w:val="0"/>
          <w:sz w:val="32"/>
          <w:szCs w:val="32"/>
        </w:rPr>
        <w:t>财政拨款支出80.08万元，年初预算77.00万</w:t>
      </w:r>
      <w:r>
        <w:rPr>
          <w:rFonts w:hint="eastAsia" w:ascii="仿宋_GB2312" w:eastAsia="仿宋_GB2312"/>
          <w:kern w:val="0"/>
          <w:sz w:val="32"/>
          <w:szCs w:val="32"/>
        </w:rPr>
        <w:t>元。完成年初预算的104.00%，决算数大于年初预算数</w:t>
      </w:r>
      <w:r>
        <w:rPr>
          <w:rFonts w:ascii="仿宋_GB2312" w:eastAsia="仿宋_GB2312"/>
          <w:kern w:val="0"/>
          <w:sz w:val="32"/>
          <w:szCs w:val="32"/>
        </w:rPr>
        <w:t>主要</w:t>
      </w:r>
      <w:r>
        <w:rPr>
          <w:rFonts w:hint="eastAsia" w:ascii="仿宋_GB2312" w:eastAsia="仿宋_GB2312"/>
          <w:kern w:val="0"/>
          <w:sz w:val="32"/>
          <w:szCs w:val="32"/>
        </w:rPr>
        <w:t>原因是2024年单位有人员退休，相应追加了相关预算。</w:t>
      </w:r>
    </w:p>
    <w:p w14:paraId="0C11C5E7">
      <w:pPr>
        <w:autoSpaceDE w:val="0"/>
        <w:autoSpaceDN w:val="0"/>
        <w:adjustRightInd w:val="0"/>
        <w:spacing w:line="560" w:lineRule="exact"/>
        <w:ind w:firstLine="640" w:firstLineChars="200"/>
        <w:jc w:val="left"/>
        <w:rPr>
          <w:rFonts w:ascii="仿宋_GB2312" w:eastAsia="仿宋_GB2312"/>
          <w:kern w:val="0"/>
          <w:sz w:val="32"/>
          <w:szCs w:val="32"/>
        </w:rPr>
      </w:pPr>
      <w:r>
        <w:rPr>
          <w:rFonts w:hint="eastAsia" w:ascii="仿宋_GB2312" w:eastAsia="仿宋_GB2312"/>
          <w:kern w:val="0"/>
          <w:sz w:val="32"/>
          <w:szCs w:val="32"/>
        </w:rPr>
        <w:t>2.行政事业单位养老支出（款）2024年机关事业单位基本养老保险缴费支出（项）2024年财政拨款支出49.60万元，年初预算65.37万元，完成年初预算的75.88%。决算数小于年初预算数的原因是：2024年单位有人员退休，相应调减了支出预算。</w:t>
      </w:r>
    </w:p>
    <w:p w14:paraId="41B48D9F">
      <w:pPr>
        <w:ind w:firstLine="640" w:firstLineChars="200"/>
        <w:jc w:val="left"/>
        <w:rPr>
          <w:rFonts w:ascii="仿宋_GB2312" w:eastAsia="仿宋_GB2312"/>
          <w:kern w:val="0"/>
          <w:sz w:val="32"/>
          <w:szCs w:val="32"/>
        </w:rPr>
      </w:pPr>
      <w:r>
        <w:rPr>
          <w:rFonts w:hint="eastAsia" w:ascii="仿宋_GB2312" w:eastAsia="仿宋_GB2312"/>
          <w:kern w:val="0"/>
          <w:sz w:val="32"/>
          <w:szCs w:val="32"/>
        </w:rPr>
        <w:t>3.行政事业单位养老支出（款）机关事业单位职业年金缴费支出（项）2024年财政拨款支出为32.10万元，年初预算32.69万元，完成年初预算的98.20%。决算数小于年初预算数的原因是：2024年单位有人员退休，相应调减了支出预算。</w:t>
      </w:r>
    </w:p>
    <w:p w14:paraId="49E00B05">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（二）卫生健康支出（类）</w:t>
      </w:r>
    </w:p>
    <w:p w14:paraId="71EB10C9">
      <w:pPr>
        <w:numPr>
          <w:ilvl w:val="255"/>
          <w:numId w:val="0"/>
        </w:numPr>
        <w:autoSpaceDE w:val="0"/>
        <w:autoSpaceDN w:val="0"/>
        <w:adjustRightInd w:val="0"/>
        <w:spacing w:line="560" w:lineRule="exact"/>
        <w:ind w:firstLine="640" w:firstLineChars="200"/>
        <w:rPr>
          <w:rFonts w:ascii="仿宋_GB2312" w:hAnsi="黑体" w:eastAsia="仿宋_GB2312" w:cs="仿宋_GB2312"/>
          <w:kern w:val="0"/>
          <w:sz w:val="32"/>
          <w:szCs w:val="32"/>
        </w:rPr>
      </w:pPr>
      <w:r>
        <w:rPr>
          <w:rFonts w:hint="eastAsia" w:ascii="仿宋_GB2312" w:eastAsia="仿宋_GB2312"/>
          <w:kern w:val="0"/>
          <w:sz w:val="32"/>
          <w:szCs w:val="32"/>
        </w:rPr>
        <w:t>行政事业单位医疗（款）事业单位医疗（项）2024年财政拨款支出22.94万元，年初预算30.23万元。</w:t>
      </w:r>
      <w:r>
        <w:rPr>
          <w:rFonts w:hint="eastAsia" w:ascii="仿宋_GB2312" w:hAnsi="黑体" w:eastAsia="仿宋_GB2312" w:cs="仿宋_GB2312"/>
          <w:kern w:val="0"/>
          <w:sz w:val="32"/>
          <w:szCs w:val="32"/>
        </w:rPr>
        <w:t>完成年初预算的75.88%。</w:t>
      </w:r>
      <w:r>
        <w:rPr>
          <w:rFonts w:ascii="仿宋_GB2312" w:eastAsia="仿宋_GB2312"/>
          <w:kern w:val="0"/>
          <w:sz w:val="32"/>
          <w:szCs w:val="32"/>
        </w:rPr>
        <w:t>决算数小于年初预算数</w:t>
      </w:r>
      <w:r>
        <w:rPr>
          <w:rFonts w:hint="eastAsia" w:ascii="仿宋_GB2312" w:hAnsi="黑体" w:eastAsia="仿宋_GB2312" w:cs="仿宋_GB2312"/>
          <w:kern w:val="0"/>
          <w:sz w:val="32"/>
          <w:szCs w:val="32"/>
        </w:rPr>
        <w:t>的主要原因是2024年单位有人员退休，相应调减了支出预算。</w:t>
      </w:r>
    </w:p>
    <w:p w14:paraId="47B8C0A4">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（三）交通运输支出（类）</w:t>
      </w:r>
    </w:p>
    <w:p w14:paraId="51B536D4">
      <w:pPr>
        <w:numPr>
          <w:ilvl w:val="255"/>
          <w:numId w:val="0"/>
        </w:numPr>
        <w:autoSpaceDE w:val="0"/>
        <w:autoSpaceDN w:val="0"/>
        <w:adjustRightInd w:val="0"/>
        <w:spacing w:line="560" w:lineRule="exact"/>
        <w:ind w:firstLine="640" w:firstLineChars="200"/>
        <w:rPr>
          <w:rFonts w:ascii="仿宋_GB2312" w:hAnsi="黑体" w:eastAsia="仿宋_GB2312" w:cs="仿宋_GB2312"/>
          <w:kern w:val="0"/>
          <w:sz w:val="32"/>
          <w:szCs w:val="32"/>
        </w:rPr>
      </w:pPr>
      <w:r>
        <w:rPr>
          <w:rFonts w:hint="eastAsia" w:ascii="仿宋_GB2312" w:eastAsia="仿宋_GB2312"/>
          <w:kern w:val="0"/>
          <w:sz w:val="32"/>
          <w:szCs w:val="32"/>
        </w:rPr>
        <w:t>1.公路水路运输（款）公路养护（项）2024年财政拨款支出1578.90万元，年初预算1643万元。</w:t>
      </w:r>
      <w:r>
        <w:rPr>
          <w:rFonts w:hint="eastAsia" w:ascii="仿宋_GB2312" w:hAnsi="黑体" w:eastAsia="仿宋_GB2312" w:cs="仿宋_GB2312"/>
          <w:kern w:val="0"/>
          <w:sz w:val="32"/>
          <w:szCs w:val="32"/>
        </w:rPr>
        <w:t>完成年初预算的96.10%。决算数小于年初预算数的主要原因是我中心落实过紧日子要求压缩了事业单位运行经费开支。</w:t>
      </w:r>
    </w:p>
    <w:p w14:paraId="2A367E25">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（四）住房保障支出（类）</w:t>
      </w:r>
    </w:p>
    <w:p w14:paraId="3B73E0D4">
      <w:pPr>
        <w:autoSpaceDE w:val="0"/>
        <w:autoSpaceDN w:val="0"/>
        <w:adjustRightInd w:val="0"/>
        <w:spacing w:line="560" w:lineRule="exact"/>
        <w:ind w:firstLine="640" w:firstLineChars="200"/>
        <w:rPr>
          <w:rFonts w:ascii="仿宋_GB2312" w:hAnsi="黑体" w:eastAsia="仿宋_GB2312" w:cs="仿宋_GB2312"/>
          <w:kern w:val="0"/>
          <w:sz w:val="32"/>
          <w:szCs w:val="32"/>
        </w:rPr>
      </w:pPr>
      <w:r>
        <w:rPr>
          <w:rFonts w:hint="eastAsia" w:ascii="仿宋_GB2312" w:hAnsi="黑体" w:eastAsia="仿宋_GB2312" w:cs="仿宋_GB2312"/>
          <w:kern w:val="0"/>
          <w:sz w:val="32"/>
          <w:szCs w:val="32"/>
        </w:rPr>
        <w:t>住房保障支出（类）住房改革支出（款）住房公积金（项）</w:t>
      </w:r>
      <w:r>
        <w:rPr>
          <w:rFonts w:hint="eastAsia" w:ascii="仿宋_GB2312" w:eastAsia="仿宋_GB2312"/>
          <w:kern w:val="0"/>
          <w:sz w:val="32"/>
          <w:szCs w:val="32"/>
        </w:rPr>
        <w:t>2024年财政拨款支出决算为37.20万元，年初预算49.03万元</w:t>
      </w:r>
      <w:r>
        <w:rPr>
          <w:rFonts w:hint="eastAsia" w:ascii="仿宋_GB2312" w:hAnsi="黑体" w:eastAsia="仿宋_GB2312" w:cs="仿宋_GB2312"/>
          <w:kern w:val="0"/>
          <w:sz w:val="32"/>
          <w:szCs w:val="32"/>
        </w:rPr>
        <w:t>。完成年初预算的75.87%。预决算差异的主要原因是2024年单位有人员退休，相应调减了支出预算。</w:t>
      </w:r>
    </w:p>
    <w:p w14:paraId="7E8268F5">
      <w:pPr>
        <w:autoSpaceDE w:val="0"/>
        <w:autoSpaceDN w:val="0"/>
        <w:adjustRightInd w:val="0"/>
        <w:spacing w:line="560" w:lineRule="exact"/>
        <w:ind w:firstLine="640" w:firstLineChars="200"/>
        <w:rPr>
          <w:rFonts w:ascii="黑体" w:hAnsi="黑体" w:eastAsia="黑体" w:cs="仿宋_GB2312"/>
          <w:kern w:val="0"/>
          <w:sz w:val="32"/>
          <w:szCs w:val="32"/>
        </w:rPr>
      </w:pPr>
      <w:r>
        <w:rPr>
          <w:rFonts w:hint="eastAsia" w:ascii="黑体" w:hAnsi="黑体" w:eastAsia="黑体" w:cs="仿宋_GB2312"/>
          <w:kern w:val="0"/>
          <w:sz w:val="32"/>
          <w:szCs w:val="32"/>
        </w:rPr>
        <w:t>三、2024年度一般公共预算财政拨款基本支出决算情况说明</w:t>
      </w:r>
    </w:p>
    <w:p w14:paraId="3F424517">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2024年度</w:t>
      </w:r>
      <w:r>
        <w:rPr>
          <w:rFonts w:hint="eastAsia" w:ascii="仿宋_GB2312" w:eastAsia="仿宋_GB2312"/>
          <w:sz w:val="32"/>
          <w:szCs w:val="32"/>
        </w:rPr>
        <w:t>一般</w:t>
      </w:r>
      <w:r>
        <w:rPr>
          <w:rFonts w:hint="eastAsia" w:ascii="仿宋_GB2312" w:eastAsia="仿宋_GB2312" w:cs="仿宋_GB2312"/>
          <w:kern w:val="0"/>
          <w:sz w:val="32"/>
          <w:szCs w:val="32"/>
        </w:rPr>
        <w:t>公共预算财政拨款基本支出793.31万元，支出具体情况如下：</w:t>
      </w:r>
    </w:p>
    <w:p w14:paraId="425EB01E">
      <w:pPr>
        <w:autoSpaceDE w:val="0"/>
        <w:autoSpaceDN w:val="0"/>
        <w:adjustRightInd w:val="0"/>
        <w:spacing w:line="560" w:lineRule="exact"/>
        <w:ind w:firstLine="640" w:firstLineChars="200"/>
        <w:rPr>
          <w:rFonts w:ascii="仿宋_GB2312" w:hAnsi="黑体" w:eastAsia="仿宋_GB2312" w:cs="仿宋_GB2312"/>
          <w:kern w:val="0"/>
          <w:sz w:val="32"/>
          <w:szCs w:val="32"/>
        </w:rPr>
      </w:pPr>
      <w:r>
        <w:rPr>
          <w:rFonts w:hint="eastAsia" w:ascii="仿宋_GB2312" w:eastAsia="仿宋_GB2312"/>
          <w:bCs/>
          <w:kern w:val="0"/>
          <w:sz w:val="32"/>
          <w:szCs w:val="32"/>
        </w:rPr>
        <w:t>（一）工资福利支出</w:t>
      </w:r>
      <w:r>
        <w:rPr>
          <w:rFonts w:hint="eastAsia" w:ascii="仿宋_GB2312" w:eastAsia="仿宋_GB2312" w:cs="仿宋_GB2312"/>
          <w:kern w:val="0"/>
          <w:sz w:val="32"/>
          <w:szCs w:val="32"/>
        </w:rPr>
        <w:t>575.97</w:t>
      </w:r>
      <w:r>
        <w:rPr>
          <w:rFonts w:hint="eastAsia" w:ascii="仿宋_GB2312" w:eastAsia="仿宋_GB2312"/>
          <w:bCs/>
          <w:kern w:val="0"/>
          <w:sz w:val="32"/>
          <w:szCs w:val="32"/>
        </w:rPr>
        <w:t>万元，完成年初预算的</w:t>
      </w:r>
      <w:r>
        <w:rPr>
          <w:rFonts w:hint="eastAsia" w:ascii="仿宋_GB2312" w:eastAsia="仿宋_GB2312" w:cs="仿宋_GB2312"/>
          <w:kern w:val="0"/>
          <w:sz w:val="32"/>
          <w:szCs w:val="32"/>
        </w:rPr>
        <w:t>79.39</w:t>
      </w:r>
      <w:r>
        <w:rPr>
          <w:rFonts w:hint="eastAsia" w:ascii="仿宋_GB2312" w:eastAsia="仿宋_GB2312"/>
          <w:bCs/>
          <w:kern w:val="0"/>
          <w:sz w:val="32"/>
          <w:szCs w:val="32"/>
        </w:rPr>
        <w:t xml:space="preserve"> %。</w:t>
      </w:r>
      <w:r>
        <w:rPr>
          <w:rFonts w:hint="eastAsia" w:ascii="仿宋_GB2312" w:eastAsia="仿宋_GB2312" w:cs="仿宋_GB2312"/>
          <w:kern w:val="0"/>
          <w:sz w:val="32"/>
          <w:szCs w:val="32"/>
        </w:rPr>
        <w:t>主要包括：基本工资、津贴补贴、绩效工资等。</w:t>
      </w:r>
      <w:r>
        <w:rPr>
          <w:rFonts w:hint="eastAsia" w:ascii="仿宋_GB2312" w:hAnsi="黑体" w:eastAsia="仿宋_GB2312" w:cs="仿宋_GB2312"/>
          <w:kern w:val="0"/>
          <w:sz w:val="32"/>
          <w:szCs w:val="32"/>
        </w:rPr>
        <w:t>预决算差异的主要原因是2024年单位有人员退休，相应调减了支出预算。</w:t>
      </w:r>
    </w:p>
    <w:p w14:paraId="29BD254E">
      <w:pPr>
        <w:autoSpaceDE w:val="0"/>
        <w:autoSpaceDN w:val="0"/>
        <w:adjustRightInd w:val="0"/>
        <w:spacing w:line="560" w:lineRule="exact"/>
        <w:ind w:firstLine="640" w:firstLineChars="200"/>
        <w:jc w:val="both"/>
        <w:rPr>
          <w:rFonts w:ascii="仿宋_GB2312" w:hAnsi="黑体" w:eastAsia="仿宋_GB2312" w:cs="仿宋_GB2312"/>
          <w:bCs w:val="0"/>
          <w:kern w:val="0"/>
          <w:sz w:val="32"/>
          <w:szCs w:val="32"/>
        </w:rPr>
      </w:pPr>
      <w:r>
        <w:rPr>
          <w:rFonts w:hint="eastAsia" w:ascii="仿宋_GB2312" w:eastAsia="仿宋_GB2312"/>
          <w:bCs/>
          <w:kern w:val="0"/>
          <w:sz w:val="32"/>
          <w:szCs w:val="32"/>
        </w:rPr>
        <w:t>（二）商品和服务支出</w:t>
      </w:r>
      <w:r>
        <w:rPr>
          <w:rFonts w:hint="eastAsia" w:ascii="仿宋_GB2312" w:eastAsia="仿宋_GB2312" w:cs="仿宋_GB2312"/>
          <w:kern w:val="0"/>
          <w:sz w:val="32"/>
          <w:szCs w:val="32"/>
        </w:rPr>
        <w:t>85.36</w:t>
      </w:r>
      <w:r>
        <w:rPr>
          <w:rFonts w:hint="eastAsia" w:ascii="仿宋_GB2312" w:eastAsia="仿宋_GB2312"/>
          <w:bCs/>
          <w:kern w:val="0"/>
          <w:sz w:val="32"/>
          <w:szCs w:val="32"/>
        </w:rPr>
        <w:t>万元，完成年初预算的</w:t>
      </w:r>
      <w:r>
        <w:rPr>
          <w:rFonts w:hint="eastAsia" w:ascii="仿宋_GB2312" w:eastAsia="仿宋_GB2312" w:cs="仿宋_GB2312"/>
          <w:kern w:val="0"/>
          <w:sz w:val="32"/>
          <w:szCs w:val="32"/>
        </w:rPr>
        <w:t>95.76</w:t>
      </w:r>
      <w:r>
        <w:rPr>
          <w:rFonts w:hint="eastAsia" w:ascii="仿宋_GB2312" w:eastAsia="仿宋_GB2312"/>
          <w:bCs/>
          <w:kern w:val="0"/>
          <w:sz w:val="32"/>
          <w:szCs w:val="32"/>
        </w:rPr>
        <w:t>%。</w:t>
      </w:r>
      <w:r>
        <w:rPr>
          <w:rFonts w:hint="eastAsia" w:ascii="仿宋_GB2312" w:eastAsia="仿宋_GB2312" w:cs="仿宋_GB2312"/>
          <w:kern w:val="0"/>
          <w:sz w:val="32"/>
          <w:szCs w:val="32"/>
        </w:rPr>
        <w:t>主要包括：办公费、印刷费、公务接待费、公务用车运行维护费等。</w:t>
      </w:r>
      <w:r>
        <w:rPr>
          <w:rFonts w:hint="eastAsia" w:ascii="仿宋_GB2312" w:hAnsi="黑体" w:eastAsia="仿宋_GB2312" w:cs="仿宋_GB2312"/>
          <w:kern w:val="0"/>
          <w:sz w:val="32"/>
          <w:szCs w:val="32"/>
        </w:rPr>
        <w:t>预决算差异的主要原因是我中心严格落实厉行节约政策，</w:t>
      </w:r>
      <w:r>
        <w:rPr>
          <w:rFonts w:hint="eastAsia" w:ascii="仿宋_GB2312" w:hAnsi="黑体" w:eastAsia="仿宋_GB2312" w:cs="仿宋_GB2312"/>
          <w:color w:val="auto"/>
          <w:kern w:val="0"/>
          <w:sz w:val="32"/>
          <w:szCs w:val="32"/>
        </w:rPr>
        <w:t>年度内办公费等单位公用运转经费开支相应减少。</w:t>
      </w:r>
    </w:p>
    <w:p w14:paraId="0C7A74E7">
      <w:pPr>
        <w:autoSpaceDE w:val="0"/>
        <w:autoSpaceDN w:val="0"/>
        <w:adjustRightInd w:val="0"/>
        <w:spacing w:line="560" w:lineRule="exact"/>
        <w:ind w:firstLine="627" w:firstLineChars="196"/>
        <w:rPr>
          <w:rFonts w:ascii="仿宋_GB2312" w:hAnsi="黑体" w:eastAsia="仿宋_GB2312" w:cs="仿宋_GB2312"/>
          <w:kern w:val="0"/>
          <w:sz w:val="32"/>
          <w:szCs w:val="32"/>
        </w:rPr>
      </w:pPr>
      <w:r>
        <w:rPr>
          <w:rFonts w:hint="eastAsia" w:ascii="仿宋_GB2312" w:eastAsia="仿宋_GB2312"/>
          <w:bCs/>
          <w:kern w:val="0"/>
          <w:sz w:val="32"/>
          <w:szCs w:val="32"/>
        </w:rPr>
        <w:t>（三）</w:t>
      </w:r>
      <w:r>
        <w:rPr>
          <w:rFonts w:hint="eastAsia" w:ascii="仿宋_GB2312" w:hAnsi="仿宋_GB2312" w:eastAsia="仿宋_GB2312" w:cs="仿宋_GB2312"/>
          <w:kern w:val="0"/>
          <w:sz w:val="32"/>
          <w:szCs w:val="32"/>
        </w:rPr>
        <w:t>对个人和家庭的补助决算数132.07万元，</w:t>
      </w:r>
      <w:r>
        <w:rPr>
          <w:rFonts w:hint="eastAsia" w:ascii="仿宋_GB2312" w:eastAsia="仿宋_GB2312"/>
          <w:bCs/>
          <w:kern w:val="0"/>
          <w:sz w:val="32"/>
          <w:szCs w:val="32"/>
        </w:rPr>
        <w:t>完成年初预算的113.55%。主要包括离休费、退休费、其他对个人和家庭的补助等。</w:t>
      </w:r>
      <w:r>
        <w:rPr>
          <w:rFonts w:hint="eastAsia" w:ascii="仿宋_GB2312" w:hAnsi="黑体" w:eastAsia="仿宋_GB2312" w:cs="仿宋_GB2312"/>
          <w:kern w:val="0"/>
          <w:sz w:val="32"/>
          <w:szCs w:val="32"/>
        </w:rPr>
        <w:t>预决算差异的主要原因是：一是年度内追加职工死亡一次性抚恤金和遗属生活补助；二是2024年有人员退休，相应调增了支出预算。</w:t>
      </w:r>
    </w:p>
    <w:p w14:paraId="32EE7157">
      <w:pPr>
        <w:autoSpaceDE w:val="0"/>
        <w:autoSpaceDN w:val="0"/>
        <w:adjustRightInd w:val="0"/>
        <w:spacing w:line="560" w:lineRule="exact"/>
        <w:ind w:firstLine="640" w:firstLineChars="200"/>
        <w:rPr>
          <w:rFonts w:ascii="黑体" w:hAnsi="黑体" w:eastAsia="黑体" w:cs="仿宋_GB2312"/>
          <w:kern w:val="0"/>
          <w:sz w:val="32"/>
          <w:szCs w:val="32"/>
        </w:rPr>
      </w:pPr>
      <w:r>
        <w:rPr>
          <w:rFonts w:hint="eastAsia" w:ascii="黑体" w:hAnsi="黑体" w:eastAsia="黑体" w:cs="仿宋_GB2312"/>
          <w:kern w:val="0"/>
          <w:sz w:val="32"/>
          <w:szCs w:val="32"/>
        </w:rPr>
        <w:t>四、2024年度政府性基金支出决算情况</w:t>
      </w:r>
    </w:p>
    <w:p w14:paraId="25251056">
      <w:pPr>
        <w:autoSpaceDE w:val="0"/>
        <w:autoSpaceDN w:val="0"/>
        <w:adjustRightInd w:val="0"/>
        <w:spacing w:line="560" w:lineRule="exact"/>
        <w:ind w:firstLine="640" w:firstLineChars="200"/>
        <w:jc w:val="left"/>
        <w:rPr>
          <w:rFonts w:ascii="仿宋_GB2312" w:eastAsia="仿宋_GB2312" w:cs="仿宋_GB2312"/>
          <w:kern w:val="0"/>
          <w:sz w:val="32"/>
          <w:szCs w:val="32"/>
        </w:rPr>
      </w:pPr>
      <w:r>
        <w:rPr>
          <w:rFonts w:hint="eastAsia" w:ascii="仿宋_GB2312" w:eastAsia="仿宋_GB2312"/>
          <w:kern w:val="0"/>
          <w:sz w:val="32"/>
          <w:szCs w:val="32"/>
        </w:rPr>
        <w:t>广西壮族自治区恭城公路养护中心2024</w:t>
      </w:r>
      <w:r>
        <w:rPr>
          <w:rFonts w:hint="eastAsia" w:ascii="仿宋_GB2312" w:eastAsia="仿宋_GB2312" w:cs="仿宋_GB2312"/>
          <w:kern w:val="0"/>
          <w:sz w:val="32"/>
          <w:szCs w:val="32"/>
        </w:rPr>
        <w:t>年度政府性基金</w:t>
      </w:r>
      <w:r>
        <w:rPr>
          <w:rFonts w:hint="eastAsia" w:ascii="仿宋_GB2312" w:hAnsi="黑体" w:eastAsia="仿宋_GB2312" w:cs="仿宋_GB2312"/>
          <w:kern w:val="0"/>
          <w:sz w:val="32"/>
          <w:szCs w:val="32"/>
        </w:rPr>
        <w:t>年初预算为0万元，</w:t>
      </w:r>
      <w:r>
        <w:rPr>
          <w:rFonts w:hint="eastAsia" w:ascii="仿宋_GB2312" w:eastAsia="仿宋_GB2312" w:cs="仿宋_GB2312"/>
          <w:kern w:val="0"/>
          <w:sz w:val="32"/>
          <w:szCs w:val="32"/>
        </w:rPr>
        <w:t>支出决算0万元，</w:t>
      </w:r>
      <w:r>
        <w:rPr>
          <w:rFonts w:hint="eastAsia" w:ascii="仿宋_GB2312" w:hAnsi="黑体" w:eastAsia="仿宋_GB2312" w:cs="仿宋_GB2312"/>
          <w:kern w:val="0"/>
          <w:sz w:val="32"/>
          <w:szCs w:val="32"/>
        </w:rPr>
        <w:t>较2023年度决算数无增减变化。</w:t>
      </w:r>
    </w:p>
    <w:p w14:paraId="06559755">
      <w:pPr>
        <w:autoSpaceDE w:val="0"/>
        <w:autoSpaceDN w:val="0"/>
        <w:adjustRightInd w:val="0"/>
        <w:spacing w:line="560" w:lineRule="exact"/>
        <w:ind w:firstLine="640" w:firstLineChars="200"/>
        <w:rPr>
          <w:rFonts w:ascii="黑体" w:hAnsi="黑体" w:eastAsia="黑体" w:cs="仿宋_GB2312"/>
          <w:kern w:val="0"/>
          <w:sz w:val="32"/>
          <w:szCs w:val="32"/>
        </w:rPr>
      </w:pPr>
      <w:r>
        <w:rPr>
          <w:rFonts w:hint="eastAsia" w:ascii="黑体" w:hAnsi="黑体" w:eastAsia="黑体" w:cs="仿宋_GB2312"/>
          <w:kern w:val="0"/>
          <w:sz w:val="32"/>
          <w:szCs w:val="32"/>
        </w:rPr>
        <w:t>五、2024年度国有资本经营预算支出决算情况</w:t>
      </w:r>
    </w:p>
    <w:p w14:paraId="01E10E08">
      <w:pPr>
        <w:autoSpaceDE w:val="0"/>
        <w:autoSpaceDN w:val="0"/>
        <w:adjustRightInd w:val="0"/>
        <w:spacing w:line="560" w:lineRule="exact"/>
        <w:ind w:firstLine="640" w:firstLineChars="200"/>
        <w:rPr>
          <w:rFonts w:ascii="仿宋_GB2312" w:hAnsi="黑体" w:eastAsia="仿宋_GB2312" w:cs="仿宋_GB2312"/>
          <w:kern w:val="0"/>
          <w:sz w:val="32"/>
          <w:szCs w:val="32"/>
        </w:rPr>
      </w:pPr>
      <w:r>
        <w:rPr>
          <w:rFonts w:hint="eastAsia" w:ascii="仿宋_GB2312" w:eastAsia="仿宋_GB2312"/>
          <w:kern w:val="0"/>
          <w:sz w:val="32"/>
          <w:szCs w:val="32"/>
        </w:rPr>
        <w:t>广西壮族自治区</w:t>
      </w:r>
      <w:r>
        <w:rPr>
          <w:rFonts w:hint="eastAsia" w:ascii="仿宋_GB2312" w:hAnsi="黑体" w:eastAsia="仿宋_GB2312"/>
          <w:bCs/>
          <w:color w:val="000000"/>
          <w:sz w:val="32"/>
          <w:szCs w:val="32"/>
        </w:rPr>
        <w:t>恭城公路养护中心</w:t>
      </w:r>
      <w:r>
        <w:rPr>
          <w:rFonts w:hint="eastAsia" w:ascii="仿宋_GB2312" w:hAnsi="黑体" w:eastAsia="仿宋_GB2312"/>
          <w:kern w:val="0"/>
          <w:sz w:val="32"/>
          <w:szCs w:val="32"/>
        </w:rPr>
        <w:t>2024</w:t>
      </w:r>
      <w:r>
        <w:rPr>
          <w:rFonts w:hint="eastAsia" w:ascii="仿宋_GB2312" w:hAnsi="黑体" w:eastAsia="仿宋_GB2312" w:cs="仿宋_GB2312"/>
          <w:kern w:val="0"/>
          <w:sz w:val="32"/>
          <w:szCs w:val="32"/>
        </w:rPr>
        <w:t>年度</w:t>
      </w:r>
      <w:r>
        <w:rPr>
          <w:rFonts w:hint="eastAsia" w:ascii="仿宋_GB2312" w:eastAsia="仿宋_GB2312" w:cs="仿宋_GB2312"/>
          <w:kern w:val="0"/>
          <w:sz w:val="32"/>
          <w:szCs w:val="32"/>
        </w:rPr>
        <w:t>国有资本经营预算</w:t>
      </w:r>
      <w:r>
        <w:rPr>
          <w:rFonts w:hint="eastAsia" w:ascii="仿宋_GB2312" w:hAnsi="黑体" w:eastAsia="仿宋_GB2312" w:cs="仿宋_GB2312"/>
          <w:kern w:val="0"/>
          <w:sz w:val="32"/>
          <w:szCs w:val="32"/>
        </w:rPr>
        <w:t>支出年初预算为0万元，支出决算为0万元</w:t>
      </w:r>
      <w:r>
        <w:rPr>
          <w:rFonts w:hint="eastAsia" w:ascii="仿宋_GB2312" w:eastAsia="仿宋_GB2312" w:cs="仿宋_GB2312"/>
          <w:kern w:val="0"/>
          <w:sz w:val="32"/>
          <w:szCs w:val="32"/>
        </w:rPr>
        <w:t>，</w:t>
      </w:r>
      <w:r>
        <w:rPr>
          <w:rFonts w:hint="eastAsia" w:ascii="仿宋_GB2312" w:hAnsi="黑体" w:eastAsia="仿宋_GB2312" w:cs="仿宋_GB2312"/>
          <w:kern w:val="0"/>
          <w:sz w:val="32"/>
          <w:szCs w:val="32"/>
        </w:rPr>
        <w:t>较2023年度决算数无增减变化。</w:t>
      </w:r>
    </w:p>
    <w:p w14:paraId="12B2F21A">
      <w:pPr>
        <w:autoSpaceDE w:val="0"/>
        <w:autoSpaceDN w:val="0"/>
        <w:adjustRightInd w:val="0"/>
        <w:spacing w:line="560" w:lineRule="exact"/>
        <w:ind w:firstLine="640" w:firstLineChars="200"/>
        <w:rPr>
          <w:rFonts w:ascii="黑体" w:hAnsi="黑体" w:eastAsia="黑体" w:cs="仿宋_GB2312"/>
          <w:kern w:val="0"/>
          <w:sz w:val="32"/>
          <w:szCs w:val="32"/>
        </w:rPr>
      </w:pPr>
      <w:r>
        <w:rPr>
          <w:rFonts w:hint="eastAsia" w:ascii="黑体" w:hAnsi="黑体" w:eastAsia="黑体" w:cs="仿宋_GB2312"/>
          <w:kern w:val="0"/>
          <w:sz w:val="32"/>
          <w:szCs w:val="32"/>
        </w:rPr>
        <w:t>六、财政拨款安排的“三公”经费支出决算情况说明</w:t>
      </w:r>
    </w:p>
    <w:p w14:paraId="1A74AEB1">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2024年度财政拨款安排的“三公”经费支出18.76万元，完成年初预算的99.10%，比上年减少2.85万元，主要原因是</w:t>
      </w:r>
      <w:r>
        <w:rPr>
          <w:rFonts w:hint="eastAsia" w:ascii="仿宋_GB2312" w:hAnsi="仿宋_GB2312" w:eastAsia="仿宋_GB2312" w:cs="仿宋_GB2312"/>
          <w:kern w:val="0"/>
          <w:sz w:val="32"/>
          <w:szCs w:val="32"/>
        </w:rPr>
        <w:t>严格执行过紧日子的文件精神</w:t>
      </w:r>
      <w:r>
        <w:rPr>
          <w:rFonts w:hint="eastAsia" w:ascii="仿宋_GB2312" w:eastAsia="仿宋_GB2312" w:cs="仿宋_GB2312"/>
          <w:kern w:val="0"/>
          <w:sz w:val="32"/>
          <w:szCs w:val="32"/>
        </w:rPr>
        <w:t>，减少“三公”经费的支出。其中：因公出国（境）费支出决算0万元，公务用车购置及运行费支出决算16.98万元，公务接待费支出决算1.77万元。</w:t>
      </w:r>
    </w:p>
    <w:p w14:paraId="4D7B4776">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具体情况如下：</w:t>
      </w:r>
    </w:p>
    <w:p w14:paraId="716BF6B5">
      <w:pPr>
        <w:numPr>
          <w:ilvl w:val="0"/>
          <w:numId w:val="1"/>
        </w:num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因公出国（境）费支出0万元，完成年初预算的0%，与上年持平。</w:t>
      </w:r>
    </w:p>
    <w:p w14:paraId="53E30B60">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（二）公务用车购置及运行费支出16.98万元。其中：</w:t>
      </w:r>
    </w:p>
    <w:p w14:paraId="0C1438E9">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公务用车购置支出0万元，完成年初预算的0%，与上年持平，原因是我中心近几年无公务车购置的预算。</w:t>
      </w:r>
    </w:p>
    <w:p w14:paraId="4D8B662D">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公务用车运行支出16.98万元，完成年初预算的98.95%，比上年减少1.55万元，原因是根据过紧日子的文件精神，压减公务用车运行费用支出。主要用于机要文件交换、市内因公出行以及开展各项业务所需车辆燃料费、维修费、过路过桥费、保险费等。2024年，</w:t>
      </w:r>
      <w:r>
        <w:rPr>
          <w:rFonts w:hint="eastAsia" w:ascii="仿宋_GB2312" w:eastAsia="仿宋_GB2312"/>
          <w:kern w:val="0"/>
          <w:sz w:val="32"/>
          <w:szCs w:val="32"/>
        </w:rPr>
        <w:t>广西壮族自治区</w:t>
      </w:r>
      <w:r>
        <w:rPr>
          <w:rFonts w:hint="eastAsia" w:ascii="仿宋_GB2312" w:hAnsi="黑体" w:eastAsia="仿宋_GB2312"/>
          <w:bCs/>
          <w:color w:val="000000"/>
          <w:sz w:val="32"/>
          <w:szCs w:val="32"/>
        </w:rPr>
        <w:t>恭城公路养护中心开支财政拨款的公务用车保有量为</w:t>
      </w:r>
      <w:r>
        <w:rPr>
          <w:rFonts w:hint="eastAsia" w:ascii="仿宋_GB2312" w:eastAsia="仿宋_GB2312" w:cs="仿宋_GB2312"/>
          <w:kern w:val="0"/>
          <w:sz w:val="32"/>
          <w:szCs w:val="32"/>
        </w:rPr>
        <w:t>6</w:t>
      </w:r>
      <w:r>
        <w:rPr>
          <w:rFonts w:hint="eastAsia" w:ascii="仿宋_GB2312" w:hAnsi="黑体" w:eastAsia="仿宋_GB2312"/>
          <w:bCs/>
          <w:color w:val="000000"/>
          <w:sz w:val="32"/>
          <w:szCs w:val="32"/>
        </w:rPr>
        <w:t>辆，全年运行费支出</w:t>
      </w:r>
      <w:r>
        <w:rPr>
          <w:rFonts w:hint="eastAsia" w:ascii="仿宋_GB2312" w:eastAsia="仿宋_GB2312" w:cs="仿宋_GB2312"/>
          <w:kern w:val="0"/>
          <w:sz w:val="32"/>
          <w:szCs w:val="32"/>
        </w:rPr>
        <w:t>16.98</w:t>
      </w:r>
      <w:r>
        <w:rPr>
          <w:rFonts w:hint="eastAsia" w:ascii="仿宋_GB2312" w:hAnsi="黑体" w:eastAsia="仿宋_GB2312"/>
          <w:bCs/>
          <w:color w:val="000000"/>
          <w:sz w:val="32"/>
          <w:szCs w:val="32"/>
        </w:rPr>
        <w:t>万元，平均每辆</w:t>
      </w:r>
      <w:r>
        <w:rPr>
          <w:rFonts w:hint="eastAsia" w:ascii="仿宋_GB2312" w:eastAsia="仿宋_GB2312" w:cs="仿宋_GB2312"/>
          <w:kern w:val="0"/>
          <w:sz w:val="32"/>
          <w:szCs w:val="32"/>
        </w:rPr>
        <w:t>2.83</w:t>
      </w:r>
      <w:r>
        <w:rPr>
          <w:rFonts w:hint="eastAsia" w:ascii="仿宋_GB2312" w:hAnsi="黑体" w:eastAsia="仿宋_GB2312"/>
          <w:bCs/>
          <w:color w:val="000000"/>
          <w:sz w:val="32"/>
          <w:szCs w:val="32"/>
        </w:rPr>
        <w:t>万元。</w:t>
      </w:r>
    </w:p>
    <w:p w14:paraId="720FD31B">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（三）公务接待费支出1.77万元，完成年初预算的100%，比上年减少1.31万元，原因是</w:t>
      </w:r>
      <w:r>
        <w:rPr>
          <w:rFonts w:hint="eastAsia" w:ascii="仿宋_GB2312" w:hAnsi="仿宋_GB2312" w:eastAsia="仿宋_GB2312" w:cs="仿宋_GB2312"/>
          <w:sz w:val="32"/>
        </w:rPr>
        <w:t>严格贯彻落实厉行节约反对浪费精神，加强公务接待管理，严格控制相关费用，支出相应减少</w:t>
      </w:r>
      <w:r>
        <w:rPr>
          <w:rFonts w:hint="eastAsia" w:ascii="仿宋_GB2312" w:eastAsia="仿宋_GB2312" w:cs="仿宋_GB2312"/>
          <w:kern w:val="0"/>
          <w:sz w:val="32"/>
          <w:szCs w:val="32"/>
        </w:rPr>
        <w:t>。国内公务接待批次32次，人次289次，国（境）外公务接待批次0次，人次0次。</w:t>
      </w:r>
    </w:p>
    <w:p w14:paraId="63D9378C">
      <w:pPr>
        <w:autoSpaceDE w:val="0"/>
        <w:autoSpaceDN w:val="0"/>
        <w:adjustRightInd w:val="0"/>
        <w:spacing w:line="560" w:lineRule="exact"/>
        <w:ind w:firstLine="627" w:firstLineChars="196"/>
        <w:rPr>
          <w:rFonts w:ascii="黑体" w:hAnsi="黑体" w:eastAsia="黑体" w:cs="仿宋_GB2312"/>
          <w:kern w:val="0"/>
          <w:sz w:val="32"/>
          <w:szCs w:val="32"/>
        </w:rPr>
      </w:pPr>
      <w:r>
        <w:rPr>
          <w:rFonts w:hint="eastAsia" w:ascii="黑体" w:hAnsi="黑体" w:eastAsia="黑体" w:cs="仿宋_GB2312"/>
          <w:kern w:val="0"/>
          <w:sz w:val="32"/>
          <w:szCs w:val="32"/>
        </w:rPr>
        <w:t>七、其他重要事项情况说明</w:t>
      </w:r>
    </w:p>
    <w:p w14:paraId="18B63B51">
      <w:pPr>
        <w:autoSpaceDE w:val="0"/>
        <w:autoSpaceDN w:val="0"/>
        <w:adjustRightInd w:val="0"/>
        <w:spacing w:line="560" w:lineRule="exact"/>
        <w:ind w:firstLine="640" w:firstLineChars="200"/>
        <w:rPr>
          <w:rFonts w:ascii="楷体_GB2312" w:eastAsia="楷体_GB2312" w:cs="仿宋_GB2312"/>
          <w:kern w:val="0"/>
          <w:sz w:val="32"/>
          <w:szCs w:val="32"/>
        </w:rPr>
      </w:pPr>
      <w:r>
        <w:rPr>
          <w:rFonts w:hint="eastAsia" w:ascii="楷体_GB2312" w:eastAsia="楷体_GB2312" w:cs="仿宋_GB2312"/>
          <w:kern w:val="0"/>
          <w:sz w:val="32"/>
          <w:szCs w:val="32"/>
        </w:rPr>
        <w:t>（一）机关运行经费支出情况说明。</w:t>
      </w:r>
    </w:p>
    <w:p w14:paraId="33A2A8A7">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本单位2024年度机关运行经费支出85.36万元，比年初预算数减少3.76万元，降低4.22 %，主要原因是：</w:t>
      </w:r>
      <w:r>
        <w:rPr>
          <w:rFonts w:hint="eastAsia" w:ascii="仿宋_GB2312" w:hAnsi="仿宋_GB2312" w:eastAsia="仿宋_GB2312" w:cs="仿宋_GB2312"/>
          <w:kern w:val="0"/>
          <w:sz w:val="32"/>
          <w:szCs w:val="32"/>
        </w:rPr>
        <w:t>严格执行过紧日子的文件精神</w:t>
      </w:r>
      <w:r>
        <w:rPr>
          <w:rFonts w:hint="eastAsia" w:ascii="仿宋_GB2312" w:eastAsia="仿宋_GB2312" w:cs="仿宋_GB2312"/>
          <w:kern w:val="0"/>
          <w:sz w:val="32"/>
          <w:szCs w:val="32"/>
        </w:rPr>
        <w:t>减少了会议费和培训费支出。比2023年减少9.06万元，降低9.60 %。主要原因是：</w:t>
      </w:r>
      <w:r>
        <w:rPr>
          <w:rFonts w:hint="eastAsia" w:ascii="仿宋_GB2312" w:eastAsia="仿宋_GB2312"/>
          <w:kern w:val="0"/>
          <w:sz w:val="32"/>
          <w:szCs w:val="32"/>
        </w:rPr>
        <w:t>落实过紧日子要求压缩了事业单位运行经费开支。</w:t>
      </w:r>
    </w:p>
    <w:p w14:paraId="2E9B1388">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楷体_GB2312" w:eastAsia="楷体_GB2312" w:cs="仿宋_GB2312"/>
          <w:kern w:val="0"/>
          <w:sz w:val="32"/>
          <w:szCs w:val="32"/>
        </w:rPr>
        <w:t>（二）政府采购支出情况说明。</w:t>
      </w:r>
      <w:r>
        <w:rPr>
          <w:rFonts w:hint="eastAsia" w:ascii="仿宋_GB2312" w:eastAsia="仿宋_GB2312" w:cs="仿宋_GB2312"/>
          <w:kern w:val="0"/>
          <w:sz w:val="32"/>
          <w:szCs w:val="32"/>
        </w:rPr>
        <w:t>本单位2024年度政府采购支出总额88.83万元，其中：政府采购货物支出3.34万元、政府采购工程支出0万元、政府采购服务支出85.49万元。授予中小企业合同金额0万元，占政府采购支出总额的0%，其中：授予小微企业合同金额0万元，占授予中小企业合同金额的0%；货物采购授予中小企业合同金额占货物支出金额额0%；工程采购授予中小企业合同金额占工程支出金额的0%；服务采购授予中小企业合同金额占服务支出金额的0%。</w:t>
      </w:r>
    </w:p>
    <w:p w14:paraId="3783E7D7">
      <w:pPr>
        <w:autoSpaceDE w:val="0"/>
        <w:autoSpaceDN w:val="0"/>
        <w:adjustRightInd w:val="0"/>
        <w:spacing w:line="560" w:lineRule="exact"/>
        <w:ind w:firstLine="640" w:firstLineChars="200"/>
        <w:rPr>
          <w:rFonts w:ascii="楷体_GB2312" w:eastAsia="楷体_GB2312" w:cs="仿宋_GB2312"/>
          <w:kern w:val="0"/>
          <w:sz w:val="32"/>
          <w:szCs w:val="32"/>
        </w:rPr>
      </w:pPr>
      <w:r>
        <w:rPr>
          <w:rFonts w:hint="eastAsia" w:ascii="楷体_GB2312" w:eastAsia="楷体_GB2312" w:cs="仿宋_GB2312"/>
          <w:kern w:val="0"/>
          <w:sz w:val="32"/>
          <w:szCs w:val="32"/>
        </w:rPr>
        <w:t>（三）国有资产占用情况说明。</w:t>
      </w:r>
    </w:p>
    <w:p w14:paraId="42CA30D0">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截至2024年12月31日，本单位共有车辆19辆，其中：副部（省）级领导干部用车0辆、机要通信用车0辆、应急保障用车0辆、执法执勤用车0辆、特种专业技术用车0辆、其他用车19辆，其他用车主要是日常业务开展及日常路面养护；单位价值50万元以上通用设备0台（套）；单位价值100万元以上专用设备 0台（套）。</w:t>
      </w:r>
    </w:p>
    <w:p w14:paraId="607EC8EE">
      <w:pPr>
        <w:autoSpaceDE w:val="0"/>
        <w:autoSpaceDN w:val="0"/>
        <w:adjustRightInd w:val="0"/>
        <w:spacing w:line="560" w:lineRule="exact"/>
        <w:ind w:firstLine="640" w:firstLineChars="200"/>
        <w:rPr>
          <w:rFonts w:ascii="楷体_GB2312" w:eastAsia="楷体_GB2312" w:cs="仿宋_GB2312"/>
          <w:kern w:val="0"/>
          <w:sz w:val="32"/>
          <w:szCs w:val="32"/>
        </w:rPr>
      </w:pPr>
      <w:r>
        <w:rPr>
          <w:rFonts w:hint="eastAsia" w:ascii="黑体" w:hAnsi="黑体" w:eastAsia="黑体" w:cs="黑体"/>
          <w:kern w:val="0"/>
          <w:sz w:val="32"/>
          <w:szCs w:val="32"/>
        </w:rPr>
        <w:t>八、预算绩效管理工作开展情况。</w:t>
      </w:r>
    </w:p>
    <w:p w14:paraId="4E62786B">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（一）绩效管理工作开展情况。</w:t>
      </w:r>
    </w:p>
    <w:p w14:paraId="5994D4A7">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根据财政预算绩效管理要求，我中心组织对2024年度20个项目开展了绩效自评工作，涉及预算金额1009.14万元，占项目支出预算总额的 100%，达到全口径资金项目绩效自评全覆盖。</w:t>
      </w:r>
    </w:p>
    <w:p w14:paraId="528E0B09">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 xml:space="preserve"> 2.项目支出绩效自评结果。</w:t>
      </w:r>
    </w:p>
    <w:p w14:paraId="79D375D0">
      <w:pPr>
        <w:autoSpaceDE w:val="0"/>
        <w:autoSpaceDN w:val="0"/>
        <w:adjustRightInd w:val="0"/>
        <w:spacing w:line="560" w:lineRule="exact"/>
        <w:ind w:firstLine="640" w:firstLineChars="200"/>
        <w:rPr>
          <w:rFonts w:ascii="仿宋_GB2312" w:eastAsia="仿宋_GB2312" w:cs="仿宋_GB2312"/>
          <w:kern w:val="0"/>
          <w:sz w:val="32"/>
          <w:szCs w:val="32"/>
        </w:rPr>
      </w:pPr>
      <w:r>
        <w:rPr>
          <w:rFonts w:ascii="仿宋_GB2312" w:eastAsia="仿宋_GB2312" w:cs="仿宋_GB2312"/>
          <w:kern w:val="0"/>
          <w:sz w:val="32"/>
          <w:szCs w:val="32"/>
        </w:rPr>
        <w:t>(1)</w:t>
      </w:r>
      <w:r>
        <w:rPr>
          <w:rFonts w:hint="eastAsia" w:ascii="仿宋_GB2312" w:eastAsia="仿宋_GB2312" w:cs="仿宋_GB2312"/>
          <w:kern w:val="0"/>
          <w:sz w:val="32"/>
          <w:szCs w:val="32"/>
        </w:rPr>
        <w:t>项目绩效自评总体情况：我中心2024年度项目20个，项目支出总额1009.14万元。其中自治区本级项目20个，项目支出 1009.14万元。</w:t>
      </w:r>
    </w:p>
    <w:p w14:paraId="0B62FC14">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所有项目均开展了绩效自评，2024年24个预算支出绩效自评得分等级如下：90（含）-100分有20个项目（一等等级），80（含）-89分有0个项目（二等等级）。</w:t>
      </w:r>
    </w:p>
    <w:p w14:paraId="0FBB117F">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2.部分重点项目绩效自评情况：</w:t>
      </w:r>
    </w:p>
    <w:p w14:paraId="40E8066C">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根据年初设定的绩效目标， 2024年20个项目均为一般项目，无重点项目。</w:t>
      </w:r>
    </w:p>
    <w:p w14:paraId="4CD3C47B">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(三)自评发现的问题及改进措施</w:t>
      </w:r>
    </w:p>
    <w:p w14:paraId="334161AB">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1.自评发现的问题</w:t>
      </w:r>
    </w:p>
    <w:p w14:paraId="2389C06F">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（1）部分项目年中发现无法开支，预算编制的预见性有待进一步加强；</w:t>
      </w:r>
    </w:p>
    <w:p w14:paraId="793EEE15">
      <w:pPr>
        <w:autoSpaceDE w:val="0"/>
        <w:autoSpaceDN w:val="0"/>
        <w:adjustRightInd w:val="0"/>
        <w:spacing w:line="560" w:lineRule="exact"/>
        <w:ind w:firstLine="640" w:firstLineChars="200"/>
        <w:rPr>
          <w:rFonts w:ascii="仿宋_GB2312" w:hAnsi="仿宋_GB2312" w:eastAsia="仿宋_GB2312" w:cs="仿宋_GB2312"/>
          <w:color w:val="000000"/>
          <w:sz w:val="32"/>
          <w:szCs w:val="32"/>
        </w:rPr>
      </w:pPr>
      <w:r>
        <w:rPr>
          <w:rFonts w:hint="eastAsia" w:ascii="仿宋_GB2312" w:eastAsia="仿宋_GB2312" w:cs="仿宋_GB2312"/>
          <w:kern w:val="0"/>
          <w:sz w:val="32"/>
          <w:szCs w:val="32"/>
        </w:rPr>
        <w:t>（2）</w:t>
      </w:r>
      <w:r>
        <w:rPr>
          <w:rFonts w:hint="eastAsia" w:ascii="仿宋_GB2312" w:hAnsi="仿宋_GB2312" w:eastAsia="仿宋_GB2312" w:cs="仿宋_GB2312"/>
          <w:color w:val="000000"/>
          <w:sz w:val="32"/>
          <w:szCs w:val="32"/>
        </w:rPr>
        <w:t>部分项目绩效指标值设置不尽合理，绩效目标与项目间的联系性有待进一步加强。</w:t>
      </w:r>
    </w:p>
    <w:p w14:paraId="377F84A9">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2.改进措施</w:t>
      </w:r>
    </w:p>
    <w:p w14:paraId="08B88365">
      <w:pPr>
        <w:autoSpaceDE w:val="0"/>
        <w:autoSpaceDN w:val="0"/>
        <w:adjustRightInd w:val="0"/>
        <w:spacing w:line="560"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（1）加强预算编制的合理性；</w:t>
      </w:r>
    </w:p>
    <w:p w14:paraId="1EABD6D1">
      <w:pPr>
        <w:autoSpaceDE w:val="0"/>
        <w:autoSpaceDN w:val="0"/>
        <w:adjustRightInd w:val="0"/>
        <w:spacing w:line="56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（2）进一步优化相关指标值的设定，加强指标值设定与项目之间的联系性。</w:t>
      </w:r>
    </w:p>
    <w:p w14:paraId="12D0F7E6">
      <w:pPr>
        <w:autoSpaceDE w:val="0"/>
        <w:autoSpaceDN w:val="0"/>
        <w:adjustRightInd w:val="0"/>
        <w:spacing w:line="560" w:lineRule="exact"/>
        <w:ind w:firstLine="640" w:firstLineChars="200"/>
        <w:rPr>
          <w:rFonts w:hint="eastAsia" w:ascii="仿宋_GB2312" w:eastAsia="仿宋_GB2312" w:cs="仿宋_GB2312"/>
          <w:kern w:val="0"/>
          <w:sz w:val="32"/>
          <w:szCs w:val="32"/>
        </w:rPr>
      </w:pPr>
    </w:p>
    <w:p w14:paraId="54D56BBC">
      <w:pPr>
        <w:autoSpaceDE w:val="0"/>
        <w:autoSpaceDN w:val="0"/>
        <w:adjustRightInd w:val="0"/>
        <w:spacing w:line="560" w:lineRule="exact"/>
        <w:ind w:firstLine="640" w:firstLineChars="200"/>
        <w:rPr>
          <w:rFonts w:hint="eastAsia" w:ascii="仿宋_GB2312" w:eastAsia="仿宋_GB2312" w:cs="仿宋_GB2312"/>
          <w:kern w:val="0"/>
          <w:sz w:val="32"/>
          <w:szCs w:val="32"/>
        </w:rPr>
      </w:pPr>
    </w:p>
    <w:p w14:paraId="68B916E9">
      <w:pPr>
        <w:autoSpaceDE w:val="0"/>
        <w:autoSpaceDN w:val="0"/>
        <w:adjustRightInd w:val="0"/>
        <w:spacing w:line="560" w:lineRule="exact"/>
        <w:ind w:firstLine="640" w:firstLineChars="200"/>
        <w:rPr>
          <w:rFonts w:hint="eastAsia" w:ascii="仿宋_GB2312" w:eastAsia="仿宋_GB2312" w:cs="仿宋_GB2312"/>
          <w:kern w:val="0"/>
          <w:sz w:val="32"/>
          <w:szCs w:val="32"/>
        </w:rPr>
      </w:pPr>
    </w:p>
    <w:p w14:paraId="418032CF">
      <w:pPr>
        <w:autoSpaceDE w:val="0"/>
        <w:autoSpaceDN w:val="0"/>
        <w:adjustRightInd w:val="0"/>
        <w:spacing w:line="560" w:lineRule="exact"/>
        <w:jc w:val="center"/>
        <w:rPr>
          <w:rFonts w:ascii="黑体" w:hAnsi="黑体" w:eastAsia="黑体" w:cs="仿宋_GB2312"/>
          <w:kern w:val="0"/>
          <w:sz w:val="32"/>
          <w:szCs w:val="32"/>
        </w:rPr>
      </w:pPr>
      <w:r>
        <w:rPr>
          <w:rFonts w:hint="eastAsia" w:ascii="黑体" w:hAnsi="黑体" w:eastAsia="黑体" w:cs="仿宋_GB2312"/>
          <w:kern w:val="0"/>
          <w:sz w:val="32"/>
          <w:szCs w:val="32"/>
        </w:rPr>
        <w:t>第四部分  名词解释</w:t>
      </w:r>
    </w:p>
    <w:p w14:paraId="145B9CC2">
      <w:pPr>
        <w:spacing w:line="560" w:lineRule="exact"/>
        <w:ind w:firstLine="640"/>
        <w:rPr>
          <w:rFonts w:ascii="仿宋_GB2312" w:eastAsia="仿宋_GB2312"/>
          <w:sz w:val="32"/>
          <w:szCs w:val="32"/>
        </w:rPr>
      </w:pPr>
      <w:r>
        <w:rPr>
          <w:rFonts w:hint="eastAsia" w:ascii="仿宋_GB2312" w:eastAsia="仿宋_GB2312"/>
          <w:sz w:val="32"/>
          <w:szCs w:val="32"/>
        </w:rPr>
        <w:t xml:space="preserve">一、财政拨款收入：指自治区财政部门当年拨付的资金。 </w:t>
      </w:r>
    </w:p>
    <w:p w14:paraId="53577941">
      <w:pPr>
        <w:spacing w:line="560" w:lineRule="exact"/>
        <w:ind w:firstLine="640" w:firstLineChars="200"/>
        <w:rPr>
          <w:rFonts w:ascii="仿宋_GB2312" w:eastAsia="仿宋_GB2312"/>
          <w:sz w:val="32"/>
          <w:szCs w:val="32"/>
        </w:rPr>
      </w:pPr>
      <w:r>
        <w:rPr>
          <w:rFonts w:hint="eastAsia" w:ascii="仿宋_GB2312" w:eastAsia="仿宋_GB2312"/>
          <w:sz w:val="32"/>
          <w:szCs w:val="32"/>
        </w:rPr>
        <w:t>二、事业收入：指事业单位开展专业业务活动及辅助活动所取得的收入。</w:t>
      </w:r>
    </w:p>
    <w:p w14:paraId="4D267B35">
      <w:pPr>
        <w:spacing w:line="560" w:lineRule="exact"/>
        <w:ind w:firstLine="640" w:firstLineChars="200"/>
        <w:rPr>
          <w:rFonts w:ascii="仿宋_GB2312" w:eastAsia="仿宋_GB2312"/>
          <w:sz w:val="32"/>
          <w:szCs w:val="32"/>
        </w:rPr>
      </w:pPr>
      <w:r>
        <w:rPr>
          <w:rFonts w:hint="eastAsia" w:ascii="仿宋_GB2312" w:eastAsia="仿宋_GB2312"/>
          <w:sz w:val="32"/>
          <w:szCs w:val="32"/>
        </w:rPr>
        <w:t>三、经营收入：指事业单位在专业业务活动及其辅助活动之外开展非独立核算经营活动取得的收入。</w:t>
      </w:r>
    </w:p>
    <w:p w14:paraId="78E925D3">
      <w:pPr>
        <w:spacing w:line="560" w:lineRule="exact"/>
        <w:ind w:firstLine="640"/>
        <w:rPr>
          <w:rFonts w:ascii="仿宋_GB2312" w:eastAsia="仿宋_GB2312"/>
          <w:sz w:val="32"/>
          <w:szCs w:val="32"/>
        </w:rPr>
      </w:pPr>
      <w:r>
        <w:rPr>
          <w:rFonts w:hint="eastAsia" w:ascii="仿宋_GB2312" w:eastAsia="仿宋_GB2312"/>
          <w:sz w:val="32"/>
          <w:szCs w:val="32"/>
        </w:rPr>
        <w:t>四、其他收入：指除上述“财政拨款收入”“事业收入”“经营收入”等以外的收入。</w:t>
      </w:r>
    </w:p>
    <w:p w14:paraId="5714796D">
      <w:pPr>
        <w:spacing w:line="560" w:lineRule="exact"/>
        <w:ind w:firstLine="640" w:firstLineChars="200"/>
        <w:rPr>
          <w:rFonts w:ascii="仿宋_GB2312" w:eastAsia="仿宋_GB2312"/>
          <w:sz w:val="32"/>
          <w:szCs w:val="32"/>
        </w:rPr>
      </w:pPr>
      <w:r>
        <w:rPr>
          <w:rFonts w:hint="eastAsia" w:ascii="仿宋_GB2312" w:eastAsia="仿宋_GB2312"/>
          <w:sz w:val="32"/>
          <w:szCs w:val="32"/>
        </w:rPr>
        <w:t xml:space="preserve">五、使用非财政拨款结余（含专用结余）：指事业单位在当年的“财政拨款收入”“事业收入”“经营收入”“其他收入”不足以安排当年支出的情况下，使用非财政拨款结余、专用结余弥补本年度收支缺口的资金。 </w:t>
      </w:r>
    </w:p>
    <w:p w14:paraId="624D9BDB">
      <w:pPr>
        <w:spacing w:line="560" w:lineRule="exact"/>
        <w:ind w:firstLine="640" w:firstLineChars="200"/>
        <w:rPr>
          <w:rFonts w:ascii="仿宋_GB2312" w:eastAsia="仿宋_GB2312"/>
          <w:sz w:val="32"/>
          <w:szCs w:val="32"/>
        </w:rPr>
      </w:pPr>
      <w:r>
        <w:rPr>
          <w:rFonts w:hint="eastAsia" w:ascii="仿宋_GB2312" w:eastAsia="仿宋_GB2312"/>
          <w:sz w:val="32"/>
          <w:szCs w:val="32"/>
        </w:rPr>
        <w:t xml:space="preserve">六、年初结转和结余：指以前年度尚未完成、结转到本年 按有关规定继续使用的资金。 </w:t>
      </w:r>
    </w:p>
    <w:p w14:paraId="33533BEE">
      <w:pPr>
        <w:spacing w:line="560" w:lineRule="exact"/>
        <w:ind w:firstLine="640" w:firstLineChars="200"/>
        <w:rPr>
          <w:rFonts w:ascii="仿宋_GB2312" w:eastAsia="仿宋_GB2312"/>
          <w:sz w:val="32"/>
          <w:szCs w:val="32"/>
        </w:rPr>
      </w:pPr>
      <w:r>
        <w:rPr>
          <w:rFonts w:hint="eastAsia" w:ascii="仿宋_GB2312" w:eastAsia="仿宋_GB2312"/>
          <w:sz w:val="32"/>
          <w:szCs w:val="32"/>
        </w:rPr>
        <w:t xml:space="preserve">七、结余分配：指事业单位按规定提取的职工福利基金、事业基金和缴纳的所得税，以及建设单位按规定应交回的基本建设竣工项目结余资金。 </w:t>
      </w:r>
    </w:p>
    <w:p w14:paraId="7D4E0064">
      <w:pPr>
        <w:spacing w:line="560" w:lineRule="exact"/>
        <w:ind w:firstLine="640" w:firstLineChars="200"/>
        <w:rPr>
          <w:rFonts w:ascii="仿宋_GB2312" w:eastAsia="仿宋_GB2312"/>
          <w:sz w:val="32"/>
          <w:szCs w:val="32"/>
        </w:rPr>
      </w:pPr>
      <w:r>
        <w:rPr>
          <w:rFonts w:hint="eastAsia" w:ascii="仿宋_GB2312" w:eastAsia="仿宋_GB2312"/>
          <w:sz w:val="32"/>
          <w:szCs w:val="32"/>
        </w:rPr>
        <w:t xml:space="preserve">八、年末结转和结余：指本年度或以前年度预算安排、因客观条件发生变化无法按原计划实施，需要延迟到以后年度按有关规定继续使用的资金。 </w:t>
      </w:r>
    </w:p>
    <w:p w14:paraId="6F06155B">
      <w:pPr>
        <w:spacing w:line="560" w:lineRule="exact"/>
        <w:ind w:firstLine="640" w:firstLineChars="200"/>
        <w:rPr>
          <w:rFonts w:ascii="仿宋_GB2312" w:eastAsia="仿宋_GB2312"/>
          <w:sz w:val="32"/>
          <w:szCs w:val="32"/>
        </w:rPr>
      </w:pPr>
      <w:r>
        <w:rPr>
          <w:rFonts w:hint="eastAsia" w:ascii="仿宋_GB2312" w:eastAsia="仿宋_GB2312"/>
          <w:sz w:val="32"/>
          <w:szCs w:val="32"/>
        </w:rPr>
        <w:t xml:space="preserve">九、基本支出：指为保障机构正常运转、完成日常工作任务而发生的人员支出和公用支出。 </w:t>
      </w:r>
    </w:p>
    <w:p w14:paraId="2BA54552">
      <w:pPr>
        <w:spacing w:line="560" w:lineRule="exact"/>
        <w:ind w:firstLine="640" w:firstLineChars="200"/>
        <w:rPr>
          <w:rFonts w:ascii="仿宋_GB2312" w:eastAsia="仿宋_GB2312"/>
          <w:sz w:val="32"/>
          <w:szCs w:val="32"/>
        </w:rPr>
      </w:pPr>
      <w:r>
        <w:rPr>
          <w:rFonts w:hint="eastAsia" w:ascii="仿宋_GB2312" w:eastAsia="仿宋_GB2312"/>
          <w:sz w:val="32"/>
          <w:szCs w:val="32"/>
        </w:rPr>
        <w:t xml:space="preserve">十、项目支出：指在基本支出之外为完成特定行政任务和事业发展目标所发生的支出。 </w:t>
      </w:r>
    </w:p>
    <w:p w14:paraId="565BA30A">
      <w:pPr>
        <w:spacing w:line="560" w:lineRule="exact"/>
        <w:ind w:firstLine="640"/>
        <w:rPr>
          <w:rFonts w:ascii="仿宋_GB2312" w:eastAsia="仿宋_GB2312"/>
          <w:sz w:val="32"/>
          <w:szCs w:val="32"/>
        </w:rPr>
      </w:pPr>
      <w:r>
        <w:rPr>
          <w:rFonts w:hint="eastAsia" w:ascii="仿宋_GB2312" w:eastAsia="仿宋_GB2312"/>
          <w:sz w:val="32"/>
          <w:szCs w:val="32"/>
        </w:rPr>
        <w:t>十一、经营支出：指事业单位在专业业务活动及其辅助活动之外开展非独立核算经营活动发生的支出。</w:t>
      </w:r>
    </w:p>
    <w:p w14:paraId="382DCA5D">
      <w:pPr>
        <w:spacing w:line="560" w:lineRule="exact"/>
        <w:ind w:firstLine="640" w:firstLineChars="200"/>
        <w:rPr>
          <w:rFonts w:ascii="仿宋_GB2312" w:eastAsia="仿宋_GB2312"/>
          <w:sz w:val="32"/>
          <w:szCs w:val="32"/>
        </w:rPr>
      </w:pPr>
      <w:r>
        <w:rPr>
          <w:rFonts w:hint="eastAsia" w:ascii="仿宋_GB2312" w:eastAsia="仿宋_GB2312"/>
          <w:sz w:val="32"/>
          <w:szCs w:val="32"/>
        </w:rPr>
        <w:t xml:space="preserve">十二、“三公”经费：纳入自治区财政预决算管理的“三公”经费，是指自治区本级各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 </w:t>
      </w:r>
    </w:p>
    <w:p w14:paraId="3E74DFAD">
      <w:pPr>
        <w:spacing w:line="560" w:lineRule="exact"/>
        <w:ind w:firstLine="640" w:firstLineChars="200"/>
        <w:rPr>
          <w:rFonts w:ascii="仿宋_GB2312" w:eastAsia="仿宋_GB2312"/>
          <w:sz w:val="32"/>
          <w:szCs w:val="32"/>
        </w:rPr>
      </w:pPr>
      <w:r>
        <w:rPr>
          <w:rFonts w:hint="eastAsia" w:ascii="仿宋_GB2312" w:eastAsia="仿宋_GB2312"/>
          <w:sz w:val="32"/>
          <w:szCs w:val="32"/>
        </w:rPr>
        <w:t>十三、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34B60248"/>
    <w:sectPr>
      <w:pgSz w:w="11906" w:h="16838"/>
      <w:pgMar w:top="1701" w:right="1474" w:bottom="1247"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altName w:val="方正舒体"/>
    <w:panose1 w:val="02000000000000000000"/>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ArialUnicodeMS">
    <w:altName w:val="宋体"/>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45D9C">
    <w:pPr>
      <w:pStyle w:val="3"/>
      <w:ind w:right="280"/>
      <w:jc w:val="right"/>
    </w:pPr>
    <w:r>
      <w:rPr>
        <w:rFonts w:hint="eastAsia" w:ascii="宋体" w:hAnsi="宋体"/>
        <w:sz w:val="28"/>
        <w:szCs w:val="28"/>
      </w:rPr>
      <w:t>—</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14</w:t>
    </w:r>
    <w:r>
      <w:rPr>
        <w:rFonts w:ascii="宋体" w:hAnsi="宋体"/>
        <w:sz w:val="28"/>
        <w:szCs w:val="28"/>
      </w:rPr>
      <w:fldChar w:fldCharType="end"/>
    </w:r>
    <w:r>
      <w:rPr>
        <w:rFonts w:hint="eastAsia" w:ascii="宋体" w:hAnsi="宋体"/>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CEBC2">
    <w:pPr>
      <w:pStyle w:val="3"/>
      <w:ind w:firstLine="420" w:firstLineChars="150"/>
    </w:pPr>
    <w:r>
      <w:rPr>
        <w:rFonts w:hint="eastAsia" w:ascii="宋体" w:hAnsi="宋体"/>
        <w:sz w:val="28"/>
        <w:szCs w:val="28"/>
      </w:rPr>
      <w:t>—</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14</w:t>
    </w:r>
    <w:r>
      <w:rPr>
        <w:rFonts w:ascii="宋体" w:hAnsi="宋体"/>
        <w:sz w:val="28"/>
        <w:szCs w:val="28"/>
      </w:rPr>
      <w:fldChar w:fldCharType="end"/>
    </w:r>
    <w:r>
      <w:rPr>
        <w:rFonts w:hint="eastAsia" w:ascii="宋体" w:hAnsi="宋体"/>
        <w:sz w:val="28"/>
        <w:szCs w:val="28"/>
      </w:rPr>
      <w:t>—</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B5FDFC"/>
    <w:multiLevelType w:val="singleLevel"/>
    <w:tmpl w:val="5DB5FDF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02096"/>
    <w:rsid w:val="00447C25"/>
    <w:rsid w:val="00F02096"/>
    <w:rsid w:val="125606F6"/>
    <w:rsid w:val="13112CC0"/>
    <w:rsid w:val="13BB1914"/>
    <w:rsid w:val="16B90B6A"/>
    <w:rsid w:val="191752B8"/>
    <w:rsid w:val="20AA066A"/>
    <w:rsid w:val="23B73EA6"/>
    <w:rsid w:val="31266D08"/>
    <w:rsid w:val="332A52E5"/>
    <w:rsid w:val="33E505BB"/>
    <w:rsid w:val="37447140"/>
    <w:rsid w:val="3B6776A6"/>
    <w:rsid w:val="3BB967A3"/>
    <w:rsid w:val="47B73FD3"/>
    <w:rsid w:val="52025321"/>
    <w:rsid w:val="57397182"/>
    <w:rsid w:val="588D34AE"/>
    <w:rsid w:val="58D81BED"/>
    <w:rsid w:val="5D577585"/>
    <w:rsid w:val="5E9071F2"/>
    <w:rsid w:val="5F412238"/>
    <w:rsid w:val="60121E89"/>
    <w:rsid w:val="69BA5C3C"/>
    <w:rsid w:val="6BB0000E"/>
    <w:rsid w:val="6ED4048A"/>
    <w:rsid w:val="6F287987"/>
    <w:rsid w:val="72A9188A"/>
    <w:rsid w:val="78D15FE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6"/>
    <w:qFormat/>
    <w:uiPriority w:val="0"/>
    <w:rPr>
      <w:sz w:val="18"/>
      <w:szCs w:val="18"/>
    </w:rPr>
  </w:style>
  <w:style w:type="paragraph" w:styleId="3">
    <w:name w:val="footer"/>
    <w:basedOn w:val="1"/>
    <w:qFormat/>
    <w:uiPriority w:val="99"/>
    <w:pPr>
      <w:tabs>
        <w:tab w:val="center" w:pos="4153"/>
        <w:tab w:val="right" w:pos="8306"/>
      </w:tabs>
      <w:snapToGrid w:val="0"/>
      <w:jc w:val="left"/>
    </w:pPr>
    <w:rPr>
      <w:sz w:val="18"/>
      <w:szCs w:val="18"/>
    </w:rPr>
  </w:style>
  <w:style w:type="character" w:customStyle="1" w:styleId="6">
    <w:name w:val="批注框文本 Char"/>
    <w:basedOn w:val="5"/>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6008</Words>
  <Characters>6771</Characters>
  <Lines>12</Lines>
  <Paragraphs>13</Paragraphs>
  <TotalTime>0</TotalTime>
  <ScaleCrop>false</ScaleCrop>
  <LinksUpToDate>false</LinksUpToDate>
  <CharactersWithSpaces>6798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2025-09-11T04:03:00Z</dcterms:created>
  <dc:creator>XX-05</dc:creator>
  <cp:lastModifiedBy>刘美麟</cp:lastModifiedBy>
  <dcterms:modified xsi:type="dcterms:W3CDTF">2025-09-18T01:24:05Z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eyJoZGlkIjoiYTk1ZTVmMTA5YTZmY2E5NWYyNGMyYjg1NmM5NDczZjUiLCJ1c2VySWQiOiIxMTUxNzEzNzY0In0=</vt:lpwstr>
  </property>
  <property fmtid="{D5CDD505-2E9C-101B-9397-08002B2CF9AE}" pid="4" name="ICV">
    <vt:lpwstr>72B83258F4764312A6FEF8EB1349036F_12</vt:lpwstr>
  </property>
</Properties>
</file>